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95D2C">
        <w:rPr>
          <w:bCs/>
          <w:color w:val="000000"/>
          <w:sz w:val="24"/>
          <w:szCs w:val="24"/>
        </w:rPr>
        <w:t>АДМИНИСТРАЦИЯ</w:t>
      </w: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95D2C">
        <w:rPr>
          <w:bCs/>
          <w:color w:val="000000"/>
          <w:sz w:val="24"/>
          <w:szCs w:val="24"/>
        </w:rPr>
        <w:t>МУНИЦИПАЛЬНОГО ОБРАЗОВАНИЯ</w:t>
      </w: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95D2C">
        <w:rPr>
          <w:bCs/>
          <w:color w:val="000000"/>
          <w:sz w:val="24"/>
          <w:szCs w:val="24"/>
        </w:rPr>
        <w:t>ГОРОДСКОЙ ОКРУГ ЛЮБЕРЦЫ</w:t>
      </w:r>
      <w:r w:rsidRPr="00A95D2C">
        <w:rPr>
          <w:bCs/>
          <w:color w:val="000000"/>
          <w:sz w:val="24"/>
          <w:szCs w:val="24"/>
        </w:rPr>
        <w:br/>
        <w:t>МОСКОВСКОЙ ОБЛАСТИ</w:t>
      </w: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95D2C">
        <w:rPr>
          <w:bCs/>
          <w:color w:val="000000"/>
          <w:sz w:val="24"/>
          <w:szCs w:val="24"/>
        </w:rPr>
        <w:t>ПОСТАНОВЛЕНИЕ</w:t>
      </w: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Pr="00A95D2C">
        <w:rPr>
          <w:color w:val="000000"/>
          <w:sz w:val="24"/>
          <w:szCs w:val="24"/>
        </w:rPr>
        <w:t xml:space="preserve">.03.2021                                                                               № </w:t>
      </w:r>
      <w:r>
        <w:rPr>
          <w:color w:val="000000"/>
          <w:sz w:val="24"/>
          <w:szCs w:val="24"/>
        </w:rPr>
        <w:t>974</w:t>
      </w:r>
      <w:r w:rsidRPr="00A95D2C">
        <w:rPr>
          <w:color w:val="000000"/>
          <w:sz w:val="24"/>
          <w:szCs w:val="24"/>
        </w:rPr>
        <w:t>-ПА</w:t>
      </w: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95D2C" w:rsidRPr="00A95D2C" w:rsidRDefault="00A95D2C" w:rsidP="00A95D2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95D2C">
        <w:rPr>
          <w:color w:val="000000"/>
          <w:sz w:val="24"/>
          <w:szCs w:val="24"/>
        </w:rPr>
        <w:t>г. Люберцы</w:t>
      </w:r>
    </w:p>
    <w:p w:rsidR="00055557" w:rsidRPr="00A95D2C" w:rsidRDefault="004F79CB" w:rsidP="006A18A3">
      <w:pPr>
        <w:ind w:right="-1"/>
        <w:jc w:val="center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 xml:space="preserve">  </w:t>
      </w:r>
    </w:p>
    <w:p w:rsidR="006A18A3" w:rsidRPr="00A95D2C" w:rsidRDefault="006A18A3" w:rsidP="006A18A3">
      <w:pPr>
        <w:ind w:right="-1"/>
        <w:jc w:val="center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О внесении изменений в муниципальную программу</w:t>
      </w:r>
    </w:p>
    <w:p w:rsidR="006A18A3" w:rsidRPr="00A95D2C" w:rsidRDefault="006A18A3" w:rsidP="006A18A3">
      <w:pPr>
        <w:ind w:right="-143"/>
        <w:jc w:val="center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«Предпринимательство»</w:t>
      </w:r>
    </w:p>
    <w:p w:rsidR="006A18A3" w:rsidRPr="00A95D2C" w:rsidRDefault="006A18A3" w:rsidP="006A18A3">
      <w:pPr>
        <w:rPr>
          <w:rFonts w:ascii="Arial" w:hAnsi="Arial" w:cs="Arial"/>
        </w:rPr>
      </w:pPr>
    </w:p>
    <w:p w:rsidR="006A18A3" w:rsidRPr="00A95D2C" w:rsidRDefault="0017203E" w:rsidP="0099271C">
      <w:pPr>
        <w:ind w:firstLine="567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</w:rPr>
        <w:t>В соответствии</w:t>
      </w:r>
      <w:r w:rsidR="001C2BC4" w:rsidRPr="00A95D2C">
        <w:rPr>
          <w:rFonts w:ascii="Arial" w:hAnsi="Arial" w:cs="Arial"/>
        </w:rPr>
        <w:t xml:space="preserve"> </w:t>
      </w:r>
      <w:r w:rsidR="00F77B4C" w:rsidRPr="00A95D2C">
        <w:rPr>
          <w:rFonts w:ascii="Arial" w:hAnsi="Arial" w:cs="Arial"/>
        </w:rPr>
        <w:t xml:space="preserve">с </w:t>
      </w:r>
      <w:r w:rsidRPr="00A95D2C">
        <w:rPr>
          <w:rFonts w:ascii="Arial" w:hAnsi="Arial" w:cs="Arial"/>
        </w:rPr>
        <w:t xml:space="preserve">Федеральным законом от 06.10.2003 № </w:t>
      </w:r>
      <w:r w:rsidR="00EB798B" w:rsidRPr="00A95D2C">
        <w:rPr>
          <w:rFonts w:ascii="Arial" w:hAnsi="Arial" w:cs="Arial"/>
        </w:rPr>
        <w:t>131-ФЗ</w:t>
      </w:r>
      <w:r w:rsidR="00D62969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24.07.2007 </w:t>
      </w:r>
      <w:r w:rsidR="001C2BC4" w:rsidRPr="00A95D2C">
        <w:rPr>
          <w:rFonts w:ascii="Arial" w:hAnsi="Arial" w:cs="Arial"/>
        </w:rPr>
        <w:t>№ 209-ФЗ</w:t>
      </w:r>
      <w:r w:rsidR="006A18A3" w:rsidRPr="00A95D2C">
        <w:rPr>
          <w:rFonts w:ascii="Arial" w:hAnsi="Arial" w:cs="Arial"/>
        </w:rPr>
        <w:t xml:space="preserve"> «О развитии малого и среднего предпринимательства в Российской Федерации», Законом Московской област</w:t>
      </w:r>
      <w:r w:rsidR="00F77B4C" w:rsidRPr="00A95D2C">
        <w:rPr>
          <w:rFonts w:ascii="Arial" w:hAnsi="Arial" w:cs="Arial"/>
        </w:rPr>
        <w:t>и от</w:t>
      </w:r>
      <w:r w:rsidR="0099271C" w:rsidRPr="00A95D2C">
        <w:rPr>
          <w:rFonts w:ascii="Arial" w:hAnsi="Arial" w:cs="Arial"/>
        </w:rPr>
        <w:t> </w:t>
      </w:r>
      <w:r w:rsidR="00F77B4C" w:rsidRPr="00A95D2C">
        <w:rPr>
          <w:rFonts w:ascii="Arial" w:hAnsi="Arial" w:cs="Arial"/>
        </w:rPr>
        <w:t xml:space="preserve">16.07.2010 № 95/2010-ОЗ «О </w:t>
      </w:r>
      <w:r w:rsidR="006A18A3" w:rsidRPr="00A95D2C">
        <w:rPr>
          <w:rFonts w:ascii="Arial" w:hAnsi="Arial" w:cs="Arial"/>
        </w:rPr>
        <w:t>развитии предпринимательской деятельно</w:t>
      </w:r>
      <w:r w:rsidR="001C2BC4" w:rsidRPr="00A95D2C">
        <w:rPr>
          <w:rFonts w:ascii="Arial" w:hAnsi="Arial" w:cs="Arial"/>
        </w:rPr>
        <w:t>сти в</w:t>
      </w:r>
      <w:r w:rsidR="0099271C" w:rsidRPr="00A95D2C">
        <w:rPr>
          <w:rFonts w:ascii="Arial" w:hAnsi="Arial" w:cs="Arial"/>
        </w:rPr>
        <w:t> </w:t>
      </w:r>
      <w:r w:rsidR="001C2BC4" w:rsidRPr="00A95D2C">
        <w:rPr>
          <w:rFonts w:ascii="Arial" w:hAnsi="Arial" w:cs="Arial"/>
        </w:rPr>
        <w:t xml:space="preserve">Московской </w:t>
      </w:r>
      <w:r w:rsidR="006A18A3" w:rsidRPr="00A95D2C">
        <w:rPr>
          <w:rFonts w:ascii="Arial" w:hAnsi="Arial" w:cs="Arial"/>
        </w:rPr>
        <w:t xml:space="preserve">области», Уставом муниципального образования городской округ Люберцы Московской области, Постановлением 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администрации 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городского 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округа 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Люберц</w:t>
      </w:r>
      <w:r w:rsidR="001C2BC4" w:rsidRPr="00A95D2C">
        <w:rPr>
          <w:rFonts w:ascii="Arial" w:hAnsi="Arial" w:cs="Arial"/>
        </w:rPr>
        <w:t>ы</w:t>
      </w:r>
      <w:r w:rsidR="00AC3600" w:rsidRPr="00A95D2C">
        <w:rPr>
          <w:rFonts w:ascii="Arial" w:hAnsi="Arial" w:cs="Arial"/>
        </w:rPr>
        <w:t xml:space="preserve"> </w:t>
      </w:r>
      <w:r w:rsidR="00F77B4C" w:rsidRPr="00A95D2C">
        <w:rPr>
          <w:rFonts w:ascii="Arial" w:hAnsi="Arial" w:cs="Arial"/>
        </w:rPr>
        <w:t xml:space="preserve"> </w:t>
      </w:r>
      <w:r w:rsidR="00601FB3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от 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20.09.2018</w:t>
      </w:r>
      <w:proofErr w:type="gramEnd"/>
      <w:r w:rsidR="006A18A3" w:rsidRPr="00A95D2C">
        <w:rPr>
          <w:rFonts w:ascii="Arial" w:hAnsi="Arial" w:cs="Arial"/>
        </w:rPr>
        <w:t xml:space="preserve"> № </w:t>
      </w:r>
      <w:proofErr w:type="gramStart"/>
      <w:r w:rsidR="006A18A3" w:rsidRPr="00A95D2C">
        <w:rPr>
          <w:rFonts w:ascii="Arial" w:hAnsi="Arial" w:cs="Arial"/>
        </w:rPr>
        <w:t>3715-ПА «Об утверждении Порядка принятия решений о</w:t>
      </w:r>
      <w:r w:rsidR="0099271C" w:rsidRPr="00A95D2C">
        <w:rPr>
          <w:rFonts w:ascii="Arial" w:hAnsi="Arial" w:cs="Arial"/>
        </w:rPr>
        <w:t> </w:t>
      </w:r>
      <w:r w:rsidR="006A18A3" w:rsidRPr="00A95D2C">
        <w:rPr>
          <w:rFonts w:ascii="Arial" w:hAnsi="Arial" w:cs="Arial"/>
        </w:rPr>
        <w:t>разработке муниципальных программ городского округа Люберцы, их</w:t>
      </w:r>
      <w:r w:rsidR="0099271C" w:rsidRPr="00A95D2C">
        <w:rPr>
          <w:rFonts w:ascii="Arial" w:hAnsi="Arial" w:cs="Arial"/>
        </w:rPr>
        <w:t> </w:t>
      </w:r>
      <w:r w:rsidR="006A18A3" w:rsidRPr="00A95D2C">
        <w:rPr>
          <w:rFonts w:ascii="Arial" w:hAnsi="Arial" w:cs="Arial"/>
        </w:rPr>
        <w:t xml:space="preserve">формирования и реализации», </w:t>
      </w:r>
      <w:r w:rsidR="002178E5" w:rsidRPr="00A95D2C">
        <w:rPr>
          <w:rFonts w:ascii="Arial" w:eastAsia="Calibri" w:hAnsi="Arial" w:cs="Arial"/>
          <w:lang w:eastAsia="en-US"/>
        </w:rPr>
        <w:t xml:space="preserve">Распоряжением Главы городского округа Люберцы Московской области </w:t>
      </w:r>
      <w:bookmarkStart w:id="0" w:name="_GoBack"/>
      <w:bookmarkEnd w:id="0"/>
      <w:r w:rsidR="002178E5" w:rsidRPr="00A95D2C">
        <w:rPr>
          <w:rFonts w:ascii="Arial" w:eastAsia="Calibri" w:hAnsi="Arial" w:cs="Arial"/>
          <w:lang w:eastAsia="en-US"/>
        </w:rPr>
        <w:t>от 21.06.2017 № 1-РГ «О наделении полномочиями Первого заместителя Главы администрации»</w:t>
      </w:r>
      <w:r w:rsidR="000E2A8C" w:rsidRPr="00A95D2C">
        <w:rPr>
          <w:rFonts w:ascii="Arial" w:eastAsia="Calibri" w:hAnsi="Arial" w:cs="Arial"/>
          <w:lang w:eastAsia="en-US"/>
        </w:rPr>
        <w:t>,</w:t>
      </w:r>
      <w:r w:rsidR="006A18A3" w:rsidRPr="00A95D2C">
        <w:rPr>
          <w:rFonts w:ascii="Arial" w:hAnsi="Arial" w:cs="Arial"/>
        </w:rPr>
        <w:t xml:space="preserve"> </w:t>
      </w:r>
      <w:r w:rsidR="00965000" w:rsidRPr="00A95D2C">
        <w:rPr>
          <w:rFonts w:ascii="Arial" w:hAnsi="Arial" w:cs="Arial"/>
        </w:rPr>
        <w:t>Распоряжение</w:t>
      </w:r>
      <w:r w:rsidR="000E2A8C" w:rsidRPr="00A95D2C">
        <w:rPr>
          <w:rFonts w:ascii="Arial" w:hAnsi="Arial" w:cs="Arial"/>
        </w:rPr>
        <w:t>м</w:t>
      </w:r>
      <w:r w:rsidR="00965000" w:rsidRPr="00A95D2C">
        <w:rPr>
          <w:rFonts w:ascii="Arial" w:hAnsi="Arial" w:cs="Arial"/>
        </w:rPr>
        <w:t xml:space="preserve"> администрации городского округа Люберцы Московской области</w:t>
      </w:r>
      <w:r w:rsidR="00A85596" w:rsidRPr="00A95D2C">
        <w:rPr>
          <w:rFonts w:ascii="Arial" w:hAnsi="Arial" w:cs="Arial"/>
        </w:rPr>
        <w:t xml:space="preserve"> от 26.02.2019 № 22-РА «О распределении обязанностей между заместителями Главы администрации городского округа Люберцы Московской области», </w:t>
      </w:r>
      <w:r w:rsidR="006A18A3" w:rsidRPr="00A95D2C">
        <w:rPr>
          <w:rFonts w:ascii="Arial" w:hAnsi="Arial" w:cs="Arial"/>
        </w:rPr>
        <w:t>постановляю:</w:t>
      </w:r>
      <w:proofErr w:type="gramEnd"/>
    </w:p>
    <w:p w:rsidR="005E4D5A" w:rsidRPr="00A95D2C" w:rsidRDefault="005E4D5A" w:rsidP="0099271C">
      <w:pPr>
        <w:ind w:firstLine="567"/>
        <w:jc w:val="both"/>
        <w:rPr>
          <w:rFonts w:ascii="Arial" w:hAnsi="Arial" w:cs="Arial"/>
        </w:rPr>
      </w:pPr>
    </w:p>
    <w:p w:rsidR="006A18A3" w:rsidRPr="00A95D2C" w:rsidRDefault="00601FB3" w:rsidP="005E4D5A">
      <w:pPr>
        <w:pStyle w:val="a8"/>
        <w:numPr>
          <w:ilvl w:val="0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Внести</w:t>
      </w:r>
      <w:r w:rsidR="00F77B4C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изменения</w:t>
      </w:r>
      <w:r w:rsidR="00D649DB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в</w:t>
      </w:r>
      <w:r w:rsidR="00D649DB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муниципальную</w:t>
      </w:r>
      <w:r w:rsidR="00D649DB" w:rsidRPr="00A95D2C">
        <w:rPr>
          <w:rFonts w:ascii="Arial" w:hAnsi="Arial" w:cs="Arial"/>
        </w:rPr>
        <w:t xml:space="preserve"> </w:t>
      </w:r>
      <w:r w:rsidRPr="00A95D2C">
        <w:rPr>
          <w:rFonts w:ascii="Arial" w:hAnsi="Arial" w:cs="Arial"/>
        </w:rPr>
        <w:t xml:space="preserve">программу </w:t>
      </w:r>
      <w:r w:rsidR="006A18A3" w:rsidRPr="00A95D2C">
        <w:rPr>
          <w:rFonts w:ascii="Arial" w:hAnsi="Arial" w:cs="Arial"/>
        </w:rPr>
        <w:t>«Пре</w:t>
      </w:r>
      <w:r w:rsidR="007E6505" w:rsidRPr="00A95D2C">
        <w:rPr>
          <w:rFonts w:ascii="Arial" w:hAnsi="Arial" w:cs="Arial"/>
        </w:rPr>
        <w:t xml:space="preserve">дпринимательство», утвержденную </w:t>
      </w:r>
      <w:r w:rsidR="006A18A3" w:rsidRPr="00A95D2C">
        <w:rPr>
          <w:rFonts w:ascii="Arial" w:hAnsi="Arial" w:cs="Arial"/>
        </w:rPr>
        <w:t>Постановлением администрации городск</w:t>
      </w:r>
      <w:r w:rsidR="00647320" w:rsidRPr="00A95D2C">
        <w:rPr>
          <w:rFonts w:ascii="Arial" w:hAnsi="Arial" w:cs="Arial"/>
        </w:rPr>
        <w:t>ого о</w:t>
      </w:r>
      <w:r w:rsidR="00EC76B5" w:rsidRPr="00A95D2C">
        <w:rPr>
          <w:rFonts w:ascii="Arial" w:hAnsi="Arial" w:cs="Arial"/>
        </w:rPr>
        <w:t>круга Люберцы от</w:t>
      </w:r>
      <w:r w:rsidR="0099271C" w:rsidRPr="00A95D2C">
        <w:rPr>
          <w:rFonts w:ascii="Arial" w:hAnsi="Arial" w:cs="Arial"/>
        </w:rPr>
        <w:t> </w:t>
      </w:r>
      <w:r w:rsidR="00EC76B5" w:rsidRPr="00A95D2C">
        <w:rPr>
          <w:rFonts w:ascii="Arial" w:hAnsi="Arial" w:cs="Arial"/>
        </w:rPr>
        <w:t>18.10.2019 № 39</w:t>
      </w:r>
      <w:r w:rsidR="00647320" w:rsidRPr="00A95D2C">
        <w:rPr>
          <w:rFonts w:ascii="Arial" w:hAnsi="Arial" w:cs="Arial"/>
        </w:rPr>
        <w:t>79</w:t>
      </w:r>
      <w:r w:rsidR="006A18A3" w:rsidRPr="00A95D2C">
        <w:rPr>
          <w:rFonts w:ascii="Arial" w:hAnsi="Arial" w:cs="Arial"/>
        </w:rPr>
        <w:t xml:space="preserve">-ПА, </w:t>
      </w:r>
      <w:r w:rsidR="00A85596" w:rsidRPr="00A95D2C">
        <w:rPr>
          <w:rFonts w:ascii="Arial" w:hAnsi="Arial" w:cs="Arial"/>
        </w:rPr>
        <w:t>следующие изменения:</w:t>
      </w:r>
    </w:p>
    <w:p w:rsidR="00A85596" w:rsidRPr="00A95D2C" w:rsidRDefault="00A85596" w:rsidP="005E4D5A">
      <w:pPr>
        <w:pStyle w:val="a8"/>
        <w:numPr>
          <w:ilvl w:val="1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Паспорт </w:t>
      </w:r>
      <w:r w:rsidR="00340C9A" w:rsidRPr="00A95D2C">
        <w:rPr>
          <w:rFonts w:ascii="Arial" w:hAnsi="Arial" w:cs="Arial"/>
        </w:rPr>
        <w:t xml:space="preserve">муниципальной </w:t>
      </w:r>
      <w:r w:rsidRPr="00A95D2C">
        <w:rPr>
          <w:rFonts w:ascii="Arial" w:hAnsi="Arial" w:cs="Arial"/>
        </w:rPr>
        <w:t>Программы изложить в новой редакции</w:t>
      </w:r>
      <w:r w:rsidR="000A72D1" w:rsidRPr="00A95D2C">
        <w:rPr>
          <w:rFonts w:ascii="Arial" w:hAnsi="Arial" w:cs="Arial"/>
        </w:rPr>
        <w:t>,</w:t>
      </w:r>
      <w:r w:rsidRPr="00A95D2C">
        <w:rPr>
          <w:rFonts w:ascii="Arial" w:hAnsi="Arial" w:cs="Arial"/>
        </w:rPr>
        <w:t xml:space="preserve"> согласно приложению №1 к настоящему Постановлению.</w:t>
      </w:r>
    </w:p>
    <w:p w:rsidR="00A85596" w:rsidRPr="00A95D2C" w:rsidRDefault="000A72D1" w:rsidP="005E4D5A">
      <w:pPr>
        <w:pStyle w:val="a8"/>
        <w:numPr>
          <w:ilvl w:val="1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Таблицу</w:t>
      </w:r>
      <w:r w:rsidR="00A958F8" w:rsidRPr="00A95D2C">
        <w:rPr>
          <w:rFonts w:ascii="Arial" w:hAnsi="Arial" w:cs="Arial"/>
        </w:rPr>
        <w:t xml:space="preserve">  «Планируемые результаты реализации муниципальной программы «Предпринимательство»</w:t>
      </w:r>
      <w:r w:rsidRPr="00A95D2C">
        <w:rPr>
          <w:rFonts w:ascii="Arial" w:hAnsi="Arial" w:cs="Arial"/>
        </w:rPr>
        <w:t xml:space="preserve"> </w:t>
      </w:r>
      <w:r w:rsidR="00A958F8" w:rsidRPr="00A95D2C">
        <w:rPr>
          <w:rFonts w:ascii="Arial" w:hAnsi="Arial" w:cs="Arial"/>
        </w:rPr>
        <w:t>П</w:t>
      </w:r>
      <w:r w:rsidR="000E2A8C" w:rsidRPr="00A95D2C">
        <w:rPr>
          <w:rFonts w:ascii="Arial" w:hAnsi="Arial" w:cs="Arial"/>
        </w:rPr>
        <w:t>риложени</w:t>
      </w:r>
      <w:r w:rsidR="00A958F8" w:rsidRPr="00A95D2C">
        <w:rPr>
          <w:rFonts w:ascii="Arial" w:hAnsi="Arial" w:cs="Arial"/>
        </w:rPr>
        <w:t>я</w:t>
      </w:r>
      <w:r w:rsidR="000E2A8C" w:rsidRPr="00A95D2C">
        <w:rPr>
          <w:rFonts w:ascii="Arial" w:hAnsi="Arial" w:cs="Arial"/>
        </w:rPr>
        <w:t xml:space="preserve"> 1 к </w:t>
      </w:r>
      <w:r w:rsidRPr="00A95D2C">
        <w:rPr>
          <w:rFonts w:ascii="Arial" w:hAnsi="Arial" w:cs="Arial"/>
        </w:rPr>
        <w:t>муниципальной программ</w:t>
      </w:r>
      <w:r w:rsidR="000E2A8C" w:rsidRPr="00A95D2C">
        <w:rPr>
          <w:rFonts w:ascii="Arial" w:hAnsi="Arial" w:cs="Arial"/>
        </w:rPr>
        <w:t>е</w:t>
      </w:r>
      <w:r w:rsidRPr="00A95D2C">
        <w:rPr>
          <w:rFonts w:ascii="Arial" w:hAnsi="Arial" w:cs="Arial"/>
        </w:rPr>
        <w:t xml:space="preserve">, </w:t>
      </w:r>
      <w:r w:rsidR="000E2A8C" w:rsidRPr="00A95D2C">
        <w:rPr>
          <w:rFonts w:ascii="Arial" w:hAnsi="Arial" w:cs="Arial"/>
        </w:rPr>
        <w:t xml:space="preserve">изложить </w:t>
      </w:r>
      <w:r w:rsidRPr="00A95D2C">
        <w:rPr>
          <w:rFonts w:ascii="Arial" w:hAnsi="Arial" w:cs="Arial"/>
        </w:rPr>
        <w:t>согласно приложению №</w:t>
      </w:r>
      <w:r w:rsidR="000A5A29" w:rsidRPr="00A95D2C">
        <w:rPr>
          <w:rFonts w:ascii="Arial" w:hAnsi="Arial" w:cs="Arial"/>
        </w:rPr>
        <w:t xml:space="preserve"> </w:t>
      </w:r>
      <w:r w:rsidRPr="00A95D2C">
        <w:rPr>
          <w:rFonts w:ascii="Arial" w:hAnsi="Arial" w:cs="Arial"/>
        </w:rPr>
        <w:t>2 к настоящему Постановлению.</w:t>
      </w:r>
    </w:p>
    <w:p w:rsidR="000A72D1" w:rsidRPr="00A95D2C" w:rsidRDefault="000E2A8C" w:rsidP="005E4D5A">
      <w:pPr>
        <w:pStyle w:val="a8"/>
        <w:numPr>
          <w:ilvl w:val="1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Приложение 3 к муниципальной программе</w:t>
      </w:r>
      <w:r w:rsidR="000A72D1" w:rsidRPr="00A95D2C">
        <w:rPr>
          <w:rFonts w:ascii="Arial" w:hAnsi="Arial" w:cs="Arial"/>
        </w:rPr>
        <w:t xml:space="preserve">, </w:t>
      </w:r>
      <w:r w:rsidRPr="00A95D2C">
        <w:rPr>
          <w:rFonts w:ascii="Arial" w:hAnsi="Arial" w:cs="Arial"/>
        </w:rPr>
        <w:t xml:space="preserve">изложить </w:t>
      </w:r>
      <w:r w:rsidR="000A72D1" w:rsidRPr="00A95D2C">
        <w:rPr>
          <w:rFonts w:ascii="Arial" w:hAnsi="Arial" w:cs="Arial"/>
        </w:rPr>
        <w:t>согласно приложению №3 к настоящему Постановлению.</w:t>
      </w:r>
    </w:p>
    <w:p w:rsidR="006A18A3" w:rsidRPr="00A95D2C" w:rsidRDefault="00601FB3" w:rsidP="005E4D5A">
      <w:pPr>
        <w:pStyle w:val="a8"/>
        <w:numPr>
          <w:ilvl w:val="0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>Опубликовать настоящее Постановление</w:t>
      </w:r>
      <w:r w:rsidR="00D649DB" w:rsidRPr="00A95D2C">
        <w:rPr>
          <w:rFonts w:ascii="Arial" w:hAnsi="Arial" w:cs="Arial"/>
        </w:rPr>
        <w:t xml:space="preserve"> </w:t>
      </w:r>
      <w:r w:rsidR="006A18A3" w:rsidRPr="00A95D2C">
        <w:rPr>
          <w:rFonts w:ascii="Arial" w:hAnsi="Arial" w:cs="Arial"/>
        </w:rPr>
        <w:t xml:space="preserve"> в</w:t>
      </w:r>
      <w:r w:rsidR="002C07D7" w:rsidRPr="00A95D2C">
        <w:rPr>
          <w:rFonts w:ascii="Arial" w:hAnsi="Arial" w:cs="Arial"/>
        </w:rPr>
        <w:t xml:space="preserve"> средствах массовой </w:t>
      </w:r>
      <w:r w:rsidR="006A18A3" w:rsidRPr="00A95D2C">
        <w:rPr>
          <w:rFonts w:ascii="Arial" w:hAnsi="Arial" w:cs="Arial"/>
        </w:rPr>
        <w:t>информации и</w:t>
      </w:r>
      <w:r w:rsidR="0099271C" w:rsidRPr="00A95D2C">
        <w:rPr>
          <w:rFonts w:ascii="Arial" w:hAnsi="Arial" w:cs="Arial"/>
        </w:rPr>
        <w:t> </w:t>
      </w:r>
      <w:r w:rsidR="006A18A3" w:rsidRPr="00A95D2C">
        <w:rPr>
          <w:rFonts w:ascii="Arial" w:hAnsi="Arial" w:cs="Arial"/>
        </w:rPr>
        <w:t>разместить на официальном сайте администрации в сети «Интернет».</w:t>
      </w:r>
    </w:p>
    <w:p w:rsidR="006A18A3" w:rsidRPr="00A95D2C" w:rsidRDefault="00601FB3" w:rsidP="005E4D5A">
      <w:pPr>
        <w:pStyle w:val="a8"/>
        <w:numPr>
          <w:ilvl w:val="0"/>
          <w:numId w:val="25"/>
        </w:numPr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</w:t>
      </w:r>
      <w:proofErr w:type="gramStart"/>
      <w:r w:rsidR="006A18A3" w:rsidRPr="00A95D2C">
        <w:rPr>
          <w:rFonts w:ascii="Arial" w:hAnsi="Arial" w:cs="Arial"/>
        </w:rPr>
        <w:t>Контроль за</w:t>
      </w:r>
      <w:proofErr w:type="gramEnd"/>
      <w:r w:rsidR="006A18A3" w:rsidRPr="00A95D2C">
        <w:rPr>
          <w:rFonts w:ascii="Arial" w:hAnsi="Arial" w:cs="Arial"/>
        </w:rPr>
        <w:t xml:space="preserve"> исполнением настоящего Постановления возложить на </w:t>
      </w:r>
      <w:r w:rsidR="0099271C" w:rsidRPr="00A95D2C">
        <w:rPr>
          <w:rFonts w:ascii="Arial" w:hAnsi="Arial" w:cs="Arial"/>
        </w:rPr>
        <w:t> </w:t>
      </w:r>
      <w:r w:rsidR="006A18A3" w:rsidRPr="00A95D2C">
        <w:rPr>
          <w:rFonts w:ascii="Arial" w:hAnsi="Arial" w:cs="Arial"/>
        </w:rPr>
        <w:t>заме</w:t>
      </w:r>
      <w:r w:rsidR="001C2BC4" w:rsidRPr="00A95D2C">
        <w:rPr>
          <w:rFonts w:ascii="Arial" w:hAnsi="Arial" w:cs="Arial"/>
        </w:rPr>
        <w:t>стителя Главы администрации</w:t>
      </w:r>
      <w:r w:rsidR="006A18A3" w:rsidRPr="00A95D2C">
        <w:rPr>
          <w:rFonts w:ascii="Arial" w:hAnsi="Arial" w:cs="Arial"/>
        </w:rPr>
        <w:t xml:space="preserve"> </w:t>
      </w:r>
      <w:proofErr w:type="spellStart"/>
      <w:r w:rsidR="006A18A3" w:rsidRPr="00A95D2C">
        <w:rPr>
          <w:rFonts w:ascii="Arial" w:hAnsi="Arial" w:cs="Arial"/>
        </w:rPr>
        <w:t>Сырова</w:t>
      </w:r>
      <w:proofErr w:type="spellEnd"/>
      <w:r w:rsidR="006A18A3" w:rsidRPr="00A95D2C">
        <w:rPr>
          <w:rFonts w:ascii="Arial" w:hAnsi="Arial" w:cs="Arial"/>
        </w:rPr>
        <w:t xml:space="preserve"> А.Н.</w:t>
      </w:r>
    </w:p>
    <w:p w:rsidR="006A18A3" w:rsidRPr="00A95D2C" w:rsidRDefault="006A18A3" w:rsidP="006A18A3">
      <w:pPr>
        <w:jc w:val="both"/>
        <w:rPr>
          <w:rFonts w:ascii="Arial" w:hAnsi="Arial" w:cs="Arial"/>
        </w:rPr>
      </w:pPr>
    </w:p>
    <w:p w:rsidR="005E4D5A" w:rsidRPr="00A95D2C" w:rsidRDefault="005E4D5A" w:rsidP="006A18A3">
      <w:pPr>
        <w:jc w:val="both"/>
        <w:rPr>
          <w:rFonts w:ascii="Arial" w:hAnsi="Arial" w:cs="Arial"/>
        </w:rPr>
      </w:pPr>
    </w:p>
    <w:p w:rsidR="00647320" w:rsidRPr="00A95D2C" w:rsidRDefault="00A85596" w:rsidP="00AA57A4">
      <w:pPr>
        <w:tabs>
          <w:tab w:val="left" w:pos="7530"/>
        </w:tabs>
        <w:jc w:val="both"/>
        <w:rPr>
          <w:rFonts w:ascii="Arial" w:hAnsi="Arial" w:cs="Arial"/>
        </w:rPr>
      </w:pPr>
      <w:proofErr w:type="spellStart"/>
      <w:r w:rsidRPr="00A95D2C">
        <w:rPr>
          <w:rFonts w:ascii="Arial" w:hAnsi="Arial" w:cs="Arial"/>
        </w:rPr>
        <w:t>И.о</w:t>
      </w:r>
      <w:proofErr w:type="spellEnd"/>
      <w:r w:rsidRPr="00A95D2C">
        <w:rPr>
          <w:rFonts w:ascii="Arial" w:hAnsi="Arial" w:cs="Arial"/>
        </w:rPr>
        <w:t xml:space="preserve">. </w:t>
      </w:r>
      <w:r w:rsidR="00647320" w:rsidRPr="00A95D2C">
        <w:rPr>
          <w:rFonts w:ascii="Arial" w:hAnsi="Arial" w:cs="Arial"/>
        </w:rPr>
        <w:t>Перв</w:t>
      </w:r>
      <w:r w:rsidRPr="00A95D2C">
        <w:rPr>
          <w:rFonts w:ascii="Arial" w:hAnsi="Arial" w:cs="Arial"/>
        </w:rPr>
        <w:t>ого</w:t>
      </w:r>
      <w:r w:rsidR="00647320" w:rsidRPr="00A95D2C">
        <w:rPr>
          <w:rFonts w:ascii="Arial" w:hAnsi="Arial" w:cs="Arial"/>
        </w:rPr>
        <w:t xml:space="preserve"> заместител</w:t>
      </w:r>
      <w:r w:rsidRPr="00A95D2C">
        <w:rPr>
          <w:rFonts w:ascii="Arial" w:hAnsi="Arial" w:cs="Arial"/>
        </w:rPr>
        <w:t>я</w:t>
      </w:r>
    </w:p>
    <w:p w:rsidR="008D17B0" w:rsidRPr="00A95D2C" w:rsidRDefault="006A18A3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Главы</w:t>
      </w:r>
      <w:r w:rsidR="00021186" w:rsidRPr="00A95D2C">
        <w:rPr>
          <w:rFonts w:ascii="Arial" w:hAnsi="Arial" w:cs="Arial"/>
        </w:rPr>
        <w:t xml:space="preserve"> </w:t>
      </w:r>
      <w:r w:rsidR="004E5709" w:rsidRPr="00A95D2C">
        <w:rPr>
          <w:rFonts w:ascii="Arial" w:hAnsi="Arial" w:cs="Arial"/>
        </w:rPr>
        <w:t>администрации</w:t>
      </w:r>
      <w:r w:rsidR="006A7205" w:rsidRPr="00A95D2C">
        <w:rPr>
          <w:rFonts w:ascii="Arial" w:hAnsi="Arial" w:cs="Arial"/>
        </w:rPr>
        <w:tab/>
        <w:t xml:space="preserve">    В.В. </w:t>
      </w:r>
      <w:proofErr w:type="spellStart"/>
      <w:r w:rsidR="006A7205" w:rsidRPr="00A95D2C">
        <w:rPr>
          <w:rFonts w:ascii="Arial" w:hAnsi="Arial" w:cs="Arial"/>
        </w:rPr>
        <w:t>Езерский</w:t>
      </w:r>
      <w:proofErr w:type="spellEnd"/>
    </w:p>
    <w:p w:rsidR="006A7205" w:rsidRPr="00A95D2C" w:rsidRDefault="006A7205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DA7FBB" w:rsidRPr="00A95D2C" w:rsidRDefault="00DA7FBB" w:rsidP="004B363C">
      <w:pPr>
        <w:spacing w:line="276" w:lineRule="auto"/>
        <w:ind w:firstLine="7938"/>
        <w:jc w:val="right"/>
        <w:rPr>
          <w:rFonts w:ascii="Arial" w:hAnsi="Arial" w:cs="Arial"/>
        </w:rPr>
      </w:pPr>
    </w:p>
    <w:p w:rsidR="00EC6D7F" w:rsidRPr="00A95D2C" w:rsidRDefault="00F24DFE" w:rsidP="004B363C">
      <w:pPr>
        <w:spacing w:line="276" w:lineRule="auto"/>
        <w:ind w:firstLine="7938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Приложение №1</w:t>
      </w:r>
    </w:p>
    <w:p w:rsidR="0020719D" w:rsidRPr="00A95D2C" w:rsidRDefault="00DD04D4" w:rsidP="004B363C">
      <w:pPr>
        <w:spacing w:line="276" w:lineRule="auto"/>
        <w:ind w:firstLine="567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к Постановлению администрации</w:t>
      </w:r>
      <w:r w:rsidR="004B363C" w:rsidRPr="00A95D2C">
        <w:rPr>
          <w:rFonts w:ascii="Arial" w:hAnsi="Arial" w:cs="Arial"/>
        </w:rPr>
        <w:t xml:space="preserve"> </w:t>
      </w:r>
      <w:proofErr w:type="gramStart"/>
      <w:r w:rsidR="004B363C" w:rsidRPr="00A95D2C">
        <w:rPr>
          <w:rFonts w:ascii="Arial" w:hAnsi="Arial" w:cs="Arial"/>
        </w:rPr>
        <w:t>городского</w:t>
      </w:r>
      <w:proofErr w:type="gramEnd"/>
    </w:p>
    <w:p w:rsidR="0095321C" w:rsidRPr="00A95D2C" w:rsidRDefault="0020719D" w:rsidP="004B363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округа Люберцы</w:t>
      </w:r>
      <w:r w:rsidR="004B363C" w:rsidRPr="00A95D2C">
        <w:rPr>
          <w:rFonts w:ascii="Arial" w:hAnsi="Arial" w:cs="Arial"/>
        </w:rPr>
        <w:t xml:space="preserve"> Московской области</w:t>
      </w:r>
    </w:p>
    <w:p w:rsidR="000E31A2" w:rsidRPr="00A95D2C" w:rsidRDefault="00B72886" w:rsidP="004B363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от </w:t>
      </w:r>
      <w:r w:rsidR="00A95D2C">
        <w:rPr>
          <w:rFonts w:ascii="Arial" w:hAnsi="Arial" w:cs="Arial"/>
        </w:rPr>
        <w:t>31.03.2021</w:t>
      </w:r>
      <w:r w:rsidR="009F1BBD" w:rsidRPr="00A95D2C">
        <w:rPr>
          <w:rFonts w:ascii="Arial" w:hAnsi="Arial" w:cs="Arial"/>
        </w:rPr>
        <w:t xml:space="preserve">№ </w:t>
      </w:r>
      <w:r w:rsidR="00A95D2C">
        <w:rPr>
          <w:rFonts w:ascii="Arial" w:hAnsi="Arial" w:cs="Arial"/>
        </w:rPr>
        <w:t>974-ПА</w:t>
      </w:r>
    </w:p>
    <w:p w:rsidR="002200E4" w:rsidRPr="00A95D2C" w:rsidRDefault="002200E4" w:rsidP="004B363C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0719D" w:rsidRPr="00A95D2C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A95D2C">
        <w:rPr>
          <w:rFonts w:ascii="Arial" w:hAnsi="Arial" w:cs="Arial"/>
          <w:b/>
        </w:rPr>
        <w:t>Муниципальная программа</w:t>
      </w:r>
      <w:r w:rsidR="00240FBF" w:rsidRPr="00A95D2C">
        <w:rPr>
          <w:rFonts w:ascii="Arial" w:hAnsi="Arial" w:cs="Arial"/>
          <w:b/>
        </w:rPr>
        <w:t xml:space="preserve"> </w:t>
      </w:r>
      <w:r w:rsidRPr="00A95D2C">
        <w:rPr>
          <w:rFonts w:ascii="Arial" w:hAnsi="Arial" w:cs="Arial"/>
          <w:b/>
        </w:rPr>
        <w:t>«</w:t>
      </w:r>
      <w:r w:rsidR="001A666C" w:rsidRPr="00A95D2C">
        <w:rPr>
          <w:rFonts w:ascii="Arial" w:hAnsi="Arial" w:cs="Arial"/>
          <w:b/>
        </w:rPr>
        <w:t>Предпринимательство</w:t>
      </w:r>
      <w:r w:rsidRPr="00A95D2C">
        <w:rPr>
          <w:rFonts w:ascii="Arial" w:hAnsi="Arial" w:cs="Arial"/>
          <w:b/>
        </w:rPr>
        <w:t>»</w:t>
      </w:r>
      <w:r w:rsidR="002F25C0" w:rsidRPr="00A95D2C">
        <w:rPr>
          <w:rFonts w:ascii="Arial" w:hAnsi="Arial" w:cs="Arial"/>
          <w:b/>
        </w:rPr>
        <w:br/>
      </w:r>
      <w:r w:rsidR="00336324" w:rsidRPr="00A95D2C">
        <w:rPr>
          <w:rFonts w:ascii="Arial" w:hAnsi="Arial" w:cs="Arial"/>
          <w:b/>
        </w:rPr>
        <w:t xml:space="preserve">Паспорт муниципальной программы </w:t>
      </w:r>
      <w:r w:rsidR="002E31CE" w:rsidRPr="00A95D2C">
        <w:rPr>
          <w:rFonts w:ascii="Arial" w:hAnsi="Arial" w:cs="Arial"/>
          <w:b/>
        </w:rPr>
        <w:t>«Предпринимательство</w:t>
      </w:r>
      <w:r w:rsidR="00336324" w:rsidRPr="00A95D2C">
        <w:rPr>
          <w:rFonts w:ascii="Arial" w:hAnsi="Arial" w:cs="Arial"/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3"/>
        <w:gridCol w:w="1477"/>
        <w:gridCol w:w="1277"/>
        <w:gridCol w:w="1277"/>
        <w:gridCol w:w="1277"/>
        <w:gridCol w:w="1277"/>
        <w:gridCol w:w="1277"/>
      </w:tblGrid>
      <w:tr w:rsidR="009D0192" w:rsidRPr="00A95D2C" w:rsidTr="000E31A2">
        <w:trPr>
          <w:trHeight w:val="2442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A95D2C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A95D2C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1.</w:t>
            </w:r>
            <w:r w:rsidR="002F25C0" w:rsidRPr="00A95D2C">
              <w:rPr>
                <w:rFonts w:ascii="Arial" w:hAnsi="Arial" w:cs="Arial"/>
              </w:rPr>
              <w:t> </w:t>
            </w:r>
            <w:r w:rsidR="001A666C" w:rsidRPr="00A95D2C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A95D2C">
              <w:rPr>
                <w:rFonts w:ascii="Arial" w:hAnsi="Arial" w:cs="Arial"/>
              </w:rPr>
              <w:t> </w:t>
            </w:r>
            <w:r w:rsidR="001A666C" w:rsidRPr="00A95D2C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A95D2C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A95D2C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3.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A95D2C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</w:t>
            </w:r>
            <w:r w:rsidR="00F20AF6" w:rsidRPr="00A95D2C">
              <w:rPr>
                <w:rFonts w:ascii="Arial" w:hAnsi="Arial" w:cs="Arial"/>
              </w:rPr>
              <w:t>.</w:t>
            </w:r>
            <w:r w:rsidR="002F25C0" w:rsidRPr="00A95D2C">
              <w:rPr>
                <w:rFonts w:ascii="Arial" w:hAnsi="Arial" w:cs="Arial"/>
              </w:rPr>
              <w:t> </w:t>
            </w:r>
            <w:r w:rsidR="00F20AF6" w:rsidRPr="00A95D2C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A95D2C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A95D2C" w:rsidRDefault="00E35218" w:rsidP="007F098D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1.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A95D2C" w:rsidRDefault="00E35218" w:rsidP="007F098D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A95D2C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A95D2C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A95D2C" w:rsidRDefault="00E35218" w:rsidP="007F098D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3.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A95D2C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A95D2C">
              <w:rPr>
                <w:rFonts w:ascii="Arial" w:hAnsi="Arial" w:cs="Arial"/>
              </w:rPr>
              <w:t>4.</w:t>
            </w:r>
            <w:r w:rsidR="002F25C0" w:rsidRPr="00A95D2C">
              <w:rPr>
                <w:rFonts w:ascii="Arial" w:hAnsi="Arial" w:cs="Arial"/>
              </w:rPr>
              <w:t> </w:t>
            </w:r>
            <w:r w:rsidR="007214E1" w:rsidRPr="00A95D2C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A95D2C">
              <w:rPr>
                <w:rFonts w:ascii="Arial" w:hAnsi="Arial" w:cs="Arial"/>
              </w:rPr>
              <w:t xml:space="preserve">от 05.04.2013 </w:t>
            </w:r>
            <w:r w:rsidR="007214E1" w:rsidRPr="00A95D2C">
              <w:rPr>
                <w:rFonts w:ascii="Arial" w:hAnsi="Arial" w:cs="Arial"/>
              </w:rPr>
              <w:t xml:space="preserve">№ 44-ФЗ </w:t>
            </w:r>
            <w:r w:rsidR="00145409" w:rsidRPr="00A95D2C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A95D2C">
              <w:rPr>
                <w:rFonts w:ascii="Arial" w:hAnsi="Arial" w:cs="Arial"/>
              </w:rPr>
              <w:t xml:space="preserve">(далее </w:t>
            </w:r>
            <w:r w:rsidR="00145409" w:rsidRPr="00A95D2C">
              <w:rPr>
                <w:rFonts w:ascii="Arial" w:hAnsi="Arial" w:cs="Arial"/>
              </w:rPr>
              <w:t xml:space="preserve">- </w:t>
            </w:r>
            <w:r w:rsidR="00EE3D14" w:rsidRPr="00A95D2C">
              <w:rPr>
                <w:rFonts w:ascii="Arial" w:hAnsi="Arial" w:cs="Arial"/>
              </w:rPr>
              <w:t>Федеральный закон  № 44-ФЗ)</w:t>
            </w:r>
            <w:r w:rsidR="00BC0595" w:rsidRPr="00A95D2C">
              <w:rPr>
                <w:rFonts w:ascii="Arial" w:hAnsi="Arial" w:cs="Arial"/>
              </w:rPr>
              <w:t>.</w:t>
            </w:r>
          </w:p>
          <w:p w:rsidR="007F098D" w:rsidRPr="00A95D2C" w:rsidRDefault="00E35218" w:rsidP="007F098D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5.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A95D2C" w:rsidRDefault="00E35218" w:rsidP="007F098D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6.</w:t>
            </w:r>
            <w:r w:rsidR="002F25C0" w:rsidRPr="00A95D2C">
              <w:rPr>
                <w:rFonts w:ascii="Arial" w:hAnsi="Arial" w:cs="Arial"/>
              </w:rPr>
              <w:t> </w:t>
            </w:r>
            <w:r w:rsidR="007F098D" w:rsidRPr="00A95D2C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A95D2C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A95D2C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7.</w:t>
            </w:r>
            <w:r w:rsidR="002F25C0" w:rsidRPr="00A95D2C">
              <w:rPr>
                <w:rFonts w:ascii="Arial" w:hAnsi="Arial" w:cs="Arial"/>
              </w:rPr>
              <w:t> </w:t>
            </w:r>
            <w:r w:rsidR="001A666C" w:rsidRPr="00A95D2C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  <w:r w:rsidR="001A666C" w:rsidRPr="00A95D2C">
              <w:rPr>
                <w:rFonts w:ascii="Arial" w:hAnsi="Arial" w:cs="Arial"/>
              </w:rPr>
              <w:br/>
            </w:r>
            <w:r w:rsidRPr="00A95D2C">
              <w:rPr>
                <w:rFonts w:ascii="Arial" w:hAnsi="Arial" w:cs="Arial"/>
              </w:rPr>
              <w:t>8.</w:t>
            </w:r>
            <w:r w:rsidR="002F25C0" w:rsidRPr="00A95D2C">
              <w:rPr>
                <w:rFonts w:ascii="Arial" w:hAnsi="Arial" w:cs="Arial"/>
              </w:rPr>
              <w:t> </w:t>
            </w:r>
            <w:r w:rsidR="001A666C" w:rsidRPr="00A95D2C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  <w:r w:rsidR="001A666C" w:rsidRPr="00A95D2C">
              <w:rPr>
                <w:rFonts w:ascii="Arial" w:hAnsi="Arial" w:cs="Arial"/>
              </w:rPr>
              <w:br/>
            </w:r>
            <w:r w:rsidRPr="00A95D2C">
              <w:rPr>
                <w:rFonts w:ascii="Arial" w:hAnsi="Arial" w:cs="Arial"/>
              </w:rPr>
              <w:t>9.</w:t>
            </w:r>
            <w:r w:rsidR="002F25C0" w:rsidRPr="00A95D2C">
              <w:rPr>
                <w:rFonts w:ascii="Arial" w:hAnsi="Arial" w:cs="Arial"/>
              </w:rPr>
              <w:t> </w:t>
            </w:r>
            <w:r w:rsidR="001A666C" w:rsidRPr="00A95D2C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</w:tr>
      <w:tr w:rsidR="007F098D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A95D2C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A95D2C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Заместитель Главы </w:t>
            </w:r>
            <w:r w:rsidR="00785245" w:rsidRPr="00A95D2C">
              <w:rPr>
                <w:rFonts w:ascii="Arial" w:hAnsi="Arial" w:cs="Arial"/>
              </w:rPr>
              <w:t xml:space="preserve">администрации </w:t>
            </w:r>
            <w:r w:rsidRPr="00A95D2C">
              <w:rPr>
                <w:rFonts w:ascii="Arial" w:hAnsi="Arial" w:cs="Arial"/>
              </w:rPr>
              <w:t>городского округа  Люберцы</w:t>
            </w:r>
            <w:r w:rsidR="002047D9" w:rsidRPr="00A95D2C">
              <w:rPr>
                <w:rFonts w:ascii="Arial" w:hAnsi="Arial" w:cs="Arial"/>
              </w:rPr>
              <w:t xml:space="preserve"> </w:t>
            </w:r>
            <w:r w:rsidR="00D563C7" w:rsidRPr="00A95D2C">
              <w:rPr>
                <w:rFonts w:ascii="Arial" w:hAnsi="Arial" w:cs="Arial"/>
              </w:rPr>
              <w:t xml:space="preserve">Московской области </w:t>
            </w:r>
            <w:r w:rsidR="00785245" w:rsidRPr="00A95D2C">
              <w:rPr>
                <w:rFonts w:ascii="Arial" w:hAnsi="Arial" w:cs="Arial"/>
              </w:rPr>
              <w:t>Сыров А.Н.</w:t>
            </w:r>
          </w:p>
        </w:tc>
      </w:tr>
      <w:tr w:rsidR="007F098D" w:rsidRPr="00A95D2C" w:rsidTr="000E31A2">
        <w:trPr>
          <w:trHeight w:val="304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A95D2C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Мун</w:t>
            </w:r>
            <w:r w:rsidR="00393A86" w:rsidRPr="00A95D2C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A95D2C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A95D2C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Сроки реализации муниципальной </w:t>
            </w:r>
            <w:r w:rsidRPr="00A95D2C">
              <w:rPr>
                <w:rFonts w:ascii="Arial" w:hAnsi="Arial" w:cs="Arial"/>
              </w:rPr>
              <w:lastRenderedPageBreak/>
              <w:t>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A95D2C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2020-2024</w:t>
            </w:r>
            <w:r w:rsidR="00996BB3" w:rsidRPr="00A95D2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9330C" w:rsidRPr="00A95D2C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</w:tr>
      <w:tr w:rsidR="009D0192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A95D2C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Перечень подпрограмм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A95D2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Инвестиции</w:t>
            </w:r>
          </w:p>
          <w:p w:rsidR="007214E1" w:rsidRPr="00A95D2C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Развитие конкуренции</w:t>
            </w:r>
          </w:p>
          <w:p w:rsidR="0020719D" w:rsidRPr="00A95D2C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Развитие </w:t>
            </w:r>
            <w:r w:rsidR="004C076C" w:rsidRPr="00A95D2C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A95D2C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Развитие потребительского рынка</w:t>
            </w:r>
            <w:r w:rsidR="002047D9" w:rsidRPr="00A95D2C">
              <w:rPr>
                <w:rFonts w:ascii="Arial" w:hAnsi="Arial" w:cs="Arial"/>
              </w:rPr>
              <w:t xml:space="preserve"> </w:t>
            </w:r>
            <w:r w:rsidR="00A509F5" w:rsidRPr="00A95D2C">
              <w:rPr>
                <w:rFonts w:ascii="Arial" w:hAnsi="Arial" w:cs="Arial"/>
              </w:rPr>
              <w:t>и услуг</w:t>
            </w:r>
            <w:r w:rsidR="00304CBB" w:rsidRPr="00A95D2C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A95D2C" w:rsidTr="000E31A2">
        <w:trPr>
          <w:tblCellSpacing w:w="5" w:type="nil"/>
        </w:trPr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A95D2C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Источники финансирова</w:t>
            </w:r>
            <w:r w:rsidR="00393A86" w:rsidRPr="00A95D2C">
              <w:rPr>
                <w:rFonts w:ascii="Arial" w:hAnsi="Arial" w:cs="Arial"/>
              </w:rPr>
              <w:t>ния</w:t>
            </w:r>
            <w:r w:rsidRPr="00A95D2C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A95D2C">
              <w:rPr>
                <w:rFonts w:ascii="Arial" w:hAnsi="Arial" w:cs="Arial"/>
              </w:rPr>
              <w:t>ы,</w:t>
            </w:r>
            <w:r w:rsidR="00393A86" w:rsidRPr="00A95D2C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A95D2C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Расходы (тыс. рублей)</w:t>
            </w:r>
          </w:p>
        </w:tc>
      </w:tr>
      <w:tr w:rsidR="002F25C0" w:rsidRPr="00A95D2C" w:rsidTr="000E31A2">
        <w:trPr>
          <w:trHeight w:val="590"/>
          <w:tblCellSpacing w:w="5" w:type="nil"/>
        </w:trPr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Всего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2020</w:t>
            </w:r>
            <w:r w:rsidR="00410620" w:rsidRPr="00A95D2C">
              <w:rPr>
                <w:rFonts w:ascii="Arial" w:hAnsi="Arial" w:cs="Arial"/>
              </w:rPr>
              <w:t>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2021</w:t>
            </w:r>
            <w:r w:rsidR="00410620" w:rsidRPr="00A95D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2022</w:t>
            </w:r>
            <w:r w:rsidR="00410620" w:rsidRPr="00A95D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2023</w:t>
            </w:r>
            <w:r w:rsidR="00410620" w:rsidRPr="00A95D2C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2024</w:t>
            </w:r>
            <w:r w:rsidR="00410620" w:rsidRPr="00A95D2C">
              <w:rPr>
                <w:rFonts w:ascii="Arial" w:hAnsi="Arial" w:cs="Arial"/>
              </w:rPr>
              <w:t xml:space="preserve"> год</w:t>
            </w:r>
          </w:p>
        </w:tc>
      </w:tr>
      <w:tr w:rsidR="002F25C0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Средства бюджета </w:t>
            </w:r>
          </w:p>
          <w:p w:rsidR="00410620" w:rsidRPr="00A95D2C" w:rsidRDefault="00410620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95D2C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A95D2C" w:rsidRDefault="00410620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  <w:tr w:rsidR="002F25C0" w:rsidRPr="00A95D2C" w:rsidTr="000E31A2">
        <w:trPr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95D2C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A95D2C">
              <w:rPr>
                <w:rFonts w:ascii="Arial" w:hAnsi="Arial" w:cs="Arial"/>
                <w:color w:val="000000"/>
              </w:rPr>
              <w:t xml:space="preserve"> </w:t>
            </w:r>
            <w:r w:rsidRPr="00A95D2C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90BCC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A95D2C">
              <w:rPr>
                <w:rFonts w:ascii="Arial" w:hAnsi="Arial" w:cs="Arial"/>
              </w:rPr>
              <w:t>171</w:t>
            </w:r>
            <w:r w:rsidR="001254F5" w:rsidRPr="00A95D2C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4A3DCE" w:rsidP="00F85CD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3</w:t>
            </w:r>
            <w:r w:rsidR="001254F5" w:rsidRPr="00A95D2C">
              <w:rPr>
                <w:rFonts w:ascii="Arial" w:hAnsi="Arial" w:cs="Arial"/>
              </w:rPr>
              <w:t> 600,00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4A3DCE" w:rsidP="00F85CD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3</w:t>
            </w:r>
            <w:r w:rsidR="001254F5" w:rsidRPr="00A95D2C">
              <w:rPr>
                <w:rFonts w:ascii="Arial" w:hAnsi="Arial" w:cs="Arial"/>
              </w:rPr>
              <w:t> 700,00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90BCC" w:rsidP="00F85CD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28</w:t>
            </w:r>
            <w:r w:rsidR="001254F5" w:rsidRPr="00A95D2C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90BCC" w:rsidP="00F85CD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28</w:t>
            </w:r>
            <w:r w:rsidR="001254F5" w:rsidRPr="00A95D2C">
              <w:rPr>
                <w:rFonts w:ascii="Arial" w:hAnsi="Arial" w:cs="Arial"/>
              </w:rPr>
              <w:t>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786B26" w:rsidP="00F85CD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</w:t>
            </w:r>
            <w:r w:rsidR="001254F5" w:rsidRPr="00A95D2C">
              <w:rPr>
                <w:rFonts w:ascii="Arial" w:hAnsi="Arial" w:cs="Arial"/>
              </w:rPr>
              <w:t> 200,00</w:t>
            </w:r>
          </w:p>
        </w:tc>
      </w:tr>
      <w:tr w:rsidR="002F25C0" w:rsidRPr="00A95D2C" w:rsidTr="000E31A2">
        <w:trPr>
          <w:trHeight w:val="374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F85CD9" w:rsidP="007F3A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913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229,0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960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117,0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982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542,0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986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333,0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989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691,0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A95D2C" w:rsidRDefault="005847C2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994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546,0</w:t>
            </w:r>
            <w:r w:rsidR="003359B8" w:rsidRPr="00A95D2C">
              <w:rPr>
                <w:rFonts w:ascii="Arial" w:hAnsi="Arial" w:cs="Arial"/>
              </w:rPr>
              <w:t>0</w:t>
            </w:r>
          </w:p>
        </w:tc>
      </w:tr>
      <w:tr w:rsidR="002F25C0" w:rsidRPr="00A95D2C" w:rsidTr="000E31A2">
        <w:trPr>
          <w:trHeight w:val="359"/>
          <w:tblCellSpacing w:w="5" w:type="nil"/>
        </w:trPr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590BCC" w:rsidP="00A95D2C">
            <w:pPr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4 930329</w:t>
            </w:r>
            <w:r w:rsidR="001254F5" w:rsidRPr="00A95D2C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F07B5C" w:rsidP="00A95D2C">
            <w:pPr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963</w:t>
            </w:r>
            <w:r w:rsidR="001254F5" w:rsidRPr="00A95D2C">
              <w:rPr>
                <w:rFonts w:ascii="Arial" w:hAnsi="Arial" w:cs="Arial"/>
              </w:rPr>
              <w:t> 717,00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590BCC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9862</w:t>
            </w:r>
            <w:r w:rsidR="00FD6975" w:rsidRPr="00A95D2C">
              <w:rPr>
                <w:rFonts w:ascii="Arial" w:hAnsi="Arial" w:cs="Arial"/>
              </w:rPr>
              <w:t>42</w:t>
            </w:r>
            <w:r w:rsidR="001254F5" w:rsidRPr="00A95D2C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87480C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98913</w:t>
            </w:r>
            <w:r w:rsidR="00FD6975" w:rsidRPr="00A95D2C">
              <w:rPr>
                <w:rFonts w:ascii="Arial" w:hAnsi="Arial" w:cs="Arial"/>
              </w:rPr>
              <w:t>3</w:t>
            </w:r>
            <w:r w:rsidR="001254F5" w:rsidRPr="00A95D2C">
              <w:rPr>
                <w:rFonts w:ascii="Arial" w:hAnsi="Arial" w:cs="Arial"/>
              </w:rPr>
              <w:t>,00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FD6975" w:rsidP="00A95D2C">
            <w:pPr>
              <w:widowControl w:val="0"/>
              <w:autoSpaceDE w:val="0"/>
              <w:autoSpaceDN w:val="0"/>
              <w:adjustRightInd w:val="0"/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992491</w:t>
            </w:r>
            <w:r w:rsidR="001254F5" w:rsidRPr="00A95D2C">
              <w:rPr>
                <w:rFonts w:ascii="Arial" w:hAnsi="Arial" w:cs="Arial"/>
              </w:rPr>
              <w:t>,00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A95D2C" w:rsidRDefault="00CB270D" w:rsidP="00A95D2C">
            <w:pPr>
              <w:ind w:left="-41" w:right="-34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998 </w:t>
            </w:r>
            <w:r w:rsidR="00FD6975" w:rsidRPr="00A95D2C">
              <w:rPr>
                <w:rFonts w:ascii="Arial" w:hAnsi="Arial" w:cs="Arial"/>
              </w:rPr>
              <w:t>746</w:t>
            </w:r>
            <w:r w:rsidR="001254F5" w:rsidRPr="00A95D2C">
              <w:rPr>
                <w:rFonts w:ascii="Arial" w:hAnsi="Arial" w:cs="Arial"/>
              </w:rPr>
              <w:t>,00</w:t>
            </w:r>
          </w:p>
        </w:tc>
      </w:tr>
      <w:tr w:rsidR="002B4B2B" w:rsidRPr="00A95D2C" w:rsidTr="00A95D2C">
        <w:trPr>
          <w:trHeight w:val="699"/>
          <w:tblCellSpacing w:w="5" w:type="nil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2B" w:rsidRPr="00A95D2C" w:rsidRDefault="002B4B2B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Целевые показатели муниципальной программы</w:t>
            </w:r>
          </w:p>
        </w:tc>
        <w:tc>
          <w:tcPr>
            <w:tcW w:w="3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72" w:rsidRPr="00A95D2C" w:rsidRDefault="00481558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Количество созданных</w:t>
            </w:r>
            <w:r w:rsidR="00715A72" w:rsidRPr="00A95D2C">
              <w:rPr>
                <w:rFonts w:ascii="Arial" w:hAnsi="Arial" w:cs="Arial"/>
              </w:rPr>
              <w:t xml:space="preserve"> рабочих мест </w:t>
            </w:r>
            <w:r w:rsidR="00EE3D14" w:rsidRPr="00A95D2C">
              <w:rPr>
                <w:rFonts w:ascii="Arial" w:hAnsi="Arial" w:cs="Arial"/>
              </w:rPr>
              <w:t>к</w:t>
            </w:r>
            <w:r w:rsidR="00105E6C" w:rsidRPr="00A95D2C">
              <w:rPr>
                <w:rFonts w:ascii="Arial" w:hAnsi="Arial" w:cs="Arial"/>
              </w:rPr>
              <w:t xml:space="preserve"> 2024 году 18</w:t>
            </w:r>
            <w:r w:rsidR="00753D19" w:rsidRPr="00A95D2C">
              <w:rPr>
                <w:rFonts w:ascii="Arial" w:hAnsi="Arial" w:cs="Arial"/>
              </w:rPr>
              <w:t xml:space="preserve">80 </w:t>
            </w:r>
            <w:r w:rsidR="00693D2D" w:rsidRPr="00A95D2C">
              <w:rPr>
                <w:rFonts w:ascii="Arial" w:hAnsi="Arial" w:cs="Arial"/>
              </w:rPr>
              <w:t>единицы;</w:t>
            </w:r>
          </w:p>
          <w:p w:rsidR="00481558" w:rsidRPr="00A95D2C" w:rsidRDefault="00481558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</w:t>
            </w:r>
            <w:r w:rsidR="000476D1" w:rsidRPr="00A95D2C">
              <w:rPr>
                <w:rFonts w:ascii="Arial" w:hAnsi="Arial" w:cs="Arial"/>
              </w:rPr>
              <w:t xml:space="preserve">мательства, </w:t>
            </w:r>
            <w:r w:rsidR="002A0EA5" w:rsidRPr="00A95D2C">
              <w:rPr>
                <w:rFonts w:ascii="Arial" w:hAnsi="Arial" w:cs="Arial"/>
              </w:rPr>
              <w:t>к 2024 году на 10</w:t>
            </w:r>
            <w:r w:rsidR="0095321C" w:rsidRPr="00A95D2C">
              <w:rPr>
                <w:rFonts w:ascii="Arial" w:hAnsi="Arial" w:cs="Arial"/>
              </w:rPr>
              <w:t>3</w:t>
            </w:r>
            <w:r w:rsidR="002A0EA5" w:rsidRPr="00A95D2C">
              <w:rPr>
                <w:rFonts w:ascii="Arial" w:hAnsi="Arial" w:cs="Arial"/>
              </w:rPr>
              <w:t>,</w:t>
            </w:r>
            <w:r w:rsidR="0095321C" w:rsidRPr="00A95D2C">
              <w:rPr>
                <w:rFonts w:ascii="Arial" w:hAnsi="Arial" w:cs="Arial"/>
              </w:rPr>
              <w:t>1</w:t>
            </w:r>
            <w:r w:rsidRPr="00A95D2C">
              <w:rPr>
                <w:rFonts w:ascii="Arial" w:hAnsi="Arial" w:cs="Arial"/>
              </w:rPr>
              <w:t>%;</w:t>
            </w:r>
          </w:p>
          <w:p w:rsidR="00481558" w:rsidRPr="00A95D2C" w:rsidRDefault="002F25C0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 </w:t>
            </w:r>
            <w:r w:rsidR="00F230BD" w:rsidRPr="00A95D2C">
              <w:rPr>
                <w:rFonts w:ascii="Arial" w:hAnsi="Arial" w:cs="Arial"/>
              </w:rPr>
              <w:t xml:space="preserve"> </w:t>
            </w:r>
            <w:r w:rsidR="0010292D" w:rsidRPr="00A95D2C">
              <w:rPr>
                <w:rFonts w:ascii="Arial" w:hAnsi="Arial" w:cs="Arial"/>
              </w:rPr>
              <w:t xml:space="preserve">Процент заполняемости многопрофильных индустриальных парков, технологических парков, промышленных площадок индустриальных парков </w:t>
            </w:r>
            <w:r w:rsidR="00F230BD" w:rsidRPr="00A95D2C">
              <w:rPr>
                <w:rFonts w:ascii="Arial" w:hAnsi="Arial" w:cs="Arial"/>
              </w:rPr>
              <w:t xml:space="preserve">к 2024 году </w:t>
            </w:r>
            <w:r w:rsidR="002A0EA5" w:rsidRPr="00A95D2C">
              <w:rPr>
                <w:rFonts w:ascii="Arial" w:hAnsi="Arial" w:cs="Arial"/>
              </w:rPr>
              <w:t>1</w:t>
            </w:r>
            <w:r w:rsidR="00F230BD" w:rsidRPr="00A95D2C">
              <w:rPr>
                <w:rFonts w:ascii="Arial" w:hAnsi="Arial" w:cs="Arial"/>
              </w:rPr>
              <w:t>00</w:t>
            </w:r>
            <w:r w:rsidR="00481558" w:rsidRPr="00A95D2C">
              <w:rPr>
                <w:rFonts w:ascii="Arial" w:hAnsi="Arial" w:cs="Arial"/>
              </w:rPr>
              <w:t>%;</w:t>
            </w:r>
          </w:p>
          <w:p w:rsidR="00F230BD" w:rsidRPr="00A95D2C" w:rsidRDefault="00F230BD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</w:t>
            </w:r>
            <w:r w:rsidR="00CB2C70" w:rsidRPr="00A95D2C">
              <w:rPr>
                <w:rFonts w:ascii="Arial" w:hAnsi="Arial" w:cs="Arial"/>
              </w:rPr>
              <w:t xml:space="preserve"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  <w:r w:rsidRPr="00A95D2C">
              <w:rPr>
                <w:rFonts w:ascii="Arial" w:hAnsi="Arial" w:cs="Arial"/>
              </w:rPr>
              <w:t xml:space="preserve">в 2024 году </w:t>
            </w:r>
            <w:r w:rsidR="00F81FB6" w:rsidRPr="00A95D2C">
              <w:rPr>
                <w:rFonts w:ascii="Arial" w:hAnsi="Arial" w:cs="Arial"/>
              </w:rPr>
              <w:t xml:space="preserve">- </w:t>
            </w:r>
            <w:r w:rsidRPr="00A95D2C">
              <w:rPr>
                <w:rFonts w:ascii="Arial" w:hAnsi="Arial" w:cs="Arial"/>
              </w:rPr>
              <w:t>2 ед.;</w:t>
            </w:r>
          </w:p>
          <w:p w:rsidR="000838C7" w:rsidRPr="00A95D2C" w:rsidRDefault="000E1F37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</w:t>
            </w:r>
            <w:r w:rsidR="00800AD8" w:rsidRPr="00A95D2C">
              <w:rPr>
                <w:rFonts w:ascii="Arial" w:hAnsi="Arial" w:cs="Arial"/>
              </w:rPr>
              <w:t xml:space="preserve">Количество </w:t>
            </w:r>
            <w:r w:rsidR="009239C6" w:rsidRPr="00A95D2C">
              <w:rPr>
                <w:rFonts w:ascii="Arial" w:hAnsi="Arial" w:cs="Arial"/>
              </w:rPr>
              <w:t xml:space="preserve">многофункциональных </w:t>
            </w:r>
            <w:r w:rsidR="00800AD8" w:rsidRPr="00A95D2C">
              <w:rPr>
                <w:rFonts w:ascii="Arial" w:hAnsi="Arial" w:cs="Arial"/>
              </w:rPr>
              <w:t>индустриальных парков, технологически</w:t>
            </w:r>
            <w:r w:rsidR="00F81FB6" w:rsidRPr="00A95D2C">
              <w:rPr>
                <w:rFonts w:ascii="Arial" w:hAnsi="Arial" w:cs="Arial"/>
              </w:rPr>
              <w:t>х парков, промышленных площадок</w:t>
            </w:r>
            <w:r w:rsidR="00800AD8" w:rsidRPr="00A95D2C">
              <w:rPr>
                <w:rFonts w:ascii="Arial" w:hAnsi="Arial" w:cs="Arial"/>
              </w:rPr>
              <w:t xml:space="preserve"> </w:t>
            </w:r>
            <w:r w:rsidR="000838C7" w:rsidRPr="00A95D2C">
              <w:rPr>
                <w:rFonts w:ascii="Arial" w:hAnsi="Arial" w:cs="Arial"/>
              </w:rPr>
              <w:t xml:space="preserve">к </w:t>
            </w:r>
            <w:r w:rsidR="00481558" w:rsidRPr="00A95D2C">
              <w:rPr>
                <w:rFonts w:ascii="Arial" w:hAnsi="Arial" w:cs="Arial"/>
              </w:rPr>
              <w:t>202</w:t>
            </w:r>
            <w:r w:rsidR="00F81FB6" w:rsidRPr="00A95D2C">
              <w:rPr>
                <w:rFonts w:ascii="Arial" w:hAnsi="Arial" w:cs="Arial"/>
              </w:rPr>
              <w:t>4 году – 0</w:t>
            </w:r>
            <w:r w:rsidR="000476D1" w:rsidRPr="00A95D2C">
              <w:rPr>
                <w:rFonts w:ascii="Arial" w:hAnsi="Arial" w:cs="Arial"/>
              </w:rPr>
              <w:t xml:space="preserve"> ед</w:t>
            </w:r>
            <w:r w:rsidR="000838C7" w:rsidRPr="00A95D2C">
              <w:rPr>
                <w:rFonts w:ascii="Arial" w:hAnsi="Arial" w:cs="Arial"/>
              </w:rPr>
              <w:t>.</w:t>
            </w:r>
          </w:p>
          <w:p w:rsidR="000E191E" w:rsidRPr="00A95D2C" w:rsidRDefault="000E191E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 Площадь территории, на которую привлечены новые резиденты – к 2024 году 8,49 га;</w:t>
            </w:r>
          </w:p>
          <w:p w:rsidR="00481558" w:rsidRPr="00A95D2C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</w:t>
            </w:r>
            <w:r w:rsidR="00481558" w:rsidRPr="00A95D2C">
              <w:rPr>
                <w:rFonts w:ascii="Arial" w:hAnsi="Arial" w:cs="Arial"/>
              </w:rPr>
              <w:t>Объем инвестиций, привлеченных в основной капитал (без учета бюджетных инвестиций),</w:t>
            </w:r>
            <w:r w:rsidR="000476D1" w:rsidRPr="00A95D2C">
              <w:rPr>
                <w:rFonts w:ascii="Arial" w:hAnsi="Arial" w:cs="Arial"/>
              </w:rPr>
              <w:t xml:space="preserve"> на душу на</w:t>
            </w:r>
            <w:r w:rsidR="00753D19" w:rsidRPr="00A95D2C">
              <w:rPr>
                <w:rFonts w:ascii="Arial" w:hAnsi="Arial" w:cs="Arial"/>
              </w:rPr>
              <w:t>селения  к концу 2024 года 68,62</w:t>
            </w:r>
            <w:r w:rsidR="00F230BD" w:rsidRPr="00A95D2C">
              <w:rPr>
                <w:rFonts w:ascii="Arial" w:hAnsi="Arial" w:cs="Arial"/>
              </w:rPr>
              <w:t xml:space="preserve"> </w:t>
            </w:r>
            <w:proofErr w:type="spellStart"/>
            <w:r w:rsidR="00481558" w:rsidRPr="00A95D2C">
              <w:rPr>
                <w:rFonts w:ascii="Arial" w:hAnsi="Arial" w:cs="Arial"/>
              </w:rPr>
              <w:t>тыс</w:t>
            </w:r>
            <w:proofErr w:type="gramStart"/>
            <w:r w:rsidR="00481558" w:rsidRPr="00A95D2C">
              <w:rPr>
                <w:rFonts w:ascii="Arial" w:hAnsi="Arial" w:cs="Arial"/>
              </w:rPr>
              <w:t>.р</w:t>
            </w:r>
            <w:proofErr w:type="gramEnd"/>
            <w:r w:rsidR="00481558" w:rsidRPr="00A95D2C">
              <w:rPr>
                <w:rFonts w:ascii="Arial" w:hAnsi="Arial" w:cs="Arial"/>
              </w:rPr>
              <w:t>уб</w:t>
            </w:r>
            <w:proofErr w:type="spellEnd"/>
            <w:r w:rsidR="00481558" w:rsidRPr="00A95D2C">
              <w:rPr>
                <w:rFonts w:ascii="Arial" w:hAnsi="Arial" w:cs="Arial"/>
              </w:rPr>
              <w:t>.</w:t>
            </w:r>
          </w:p>
          <w:p w:rsidR="003820D4" w:rsidRPr="00A95D2C" w:rsidRDefault="003820D4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      </w:r>
            <w:r w:rsidR="00FA5C78" w:rsidRPr="00A95D2C">
              <w:rPr>
                <w:rFonts w:ascii="Arial" w:hAnsi="Arial" w:cs="Arial"/>
              </w:rPr>
              <w:t xml:space="preserve"> - 101,5%</w:t>
            </w:r>
          </w:p>
          <w:p w:rsidR="00214003" w:rsidRPr="00A95D2C" w:rsidRDefault="00214003" w:rsidP="004815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 Объем инвестиций в основной капитал, за исключением инвестиций инфраструктурных монополий (федеральные проекты) и бюджетных ассигнований</w:t>
            </w:r>
            <w:r w:rsidR="00142E8A" w:rsidRPr="00A95D2C">
              <w:rPr>
                <w:rFonts w:ascii="Arial" w:hAnsi="Arial" w:cs="Arial"/>
              </w:rPr>
              <w:t xml:space="preserve"> средств федерального бюджета</w:t>
            </w:r>
            <w:r w:rsidR="000A3F3E" w:rsidRPr="00A95D2C">
              <w:rPr>
                <w:rFonts w:ascii="Arial" w:hAnsi="Arial" w:cs="Arial"/>
              </w:rPr>
              <w:t xml:space="preserve"> к 2024</w:t>
            </w:r>
            <w:r w:rsidRPr="00A95D2C">
              <w:rPr>
                <w:rFonts w:ascii="Arial" w:hAnsi="Arial" w:cs="Arial"/>
              </w:rPr>
              <w:t xml:space="preserve"> году</w:t>
            </w:r>
            <w:r w:rsidR="00F81FB6" w:rsidRPr="00A95D2C">
              <w:rPr>
                <w:rFonts w:ascii="Arial" w:hAnsi="Arial" w:cs="Arial"/>
              </w:rPr>
              <w:t xml:space="preserve"> 21664945,94</w:t>
            </w:r>
            <w:r w:rsidR="00DA24A0" w:rsidRPr="00A95D2C">
              <w:rPr>
                <w:rFonts w:ascii="Arial" w:hAnsi="Arial" w:cs="Arial"/>
              </w:rPr>
              <w:t xml:space="preserve"> </w:t>
            </w:r>
            <w:proofErr w:type="spellStart"/>
            <w:r w:rsidR="00DA24A0" w:rsidRPr="00A95D2C">
              <w:rPr>
                <w:rFonts w:ascii="Arial" w:hAnsi="Arial" w:cs="Arial"/>
              </w:rPr>
              <w:t>тыс</w:t>
            </w:r>
            <w:proofErr w:type="gramStart"/>
            <w:r w:rsidR="00DA24A0" w:rsidRPr="00A95D2C">
              <w:rPr>
                <w:rFonts w:ascii="Arial" w:hAnsi="Arial" w:cs="Arial"/>
              </w:rPr>
              <w:t>.р</w:t>
            </w:r>
            <w:proofErr w:type="gramEnd"/>
            <w:r w:rsidR="00DA24A0" w:rsidRPr="00A95D2C">
              <w:rPr>
                <w:rFonts w:ascii="Arial" w:hAnsi="Arial" w:cs="Arial"/>
              </w:rPr>
              <w:t>уб</w:t>
            </w:r>
            <w:proofErr w:type="spellEnd"/>
            <w:r w:rsidR="00DA24A0" w:rsidRPr="00A95D2C">
              <w:rPr>
                <w:rFonts w:ascii="Arial" w:hAnsi="Arial" w:cs="Arial"/>
              </w:rPr>
              <w:t>.</w:t>
            </w:r>
            <w:r w:rsidRPr="00A95D2C">
              <w:rPr>
                <w:rFonts w:ascii="Arial" w:hAnsi="Arial" w:cs="Arial"/>
              </w:rPr>
              <w:t xml:space="preserve">; </w:t>
            </w:r>
          </w:p>
          <w:p w:rsidR="00715A72" w:rsidRPr="00A95D2C" w:rsidRDefault="00715A72" w:rsidP="00715A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95D2C">
              <w:rPr>
                <w:rFonts w:ascii="Arial" w:hAnsi="Arial" w:cs="Arial"/>
              </w:rPr>
              <w:t xml:space="preserve">- </w:t>
            </w:r>
            <w:r w:rsidRPr="00A95D2C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A95D2C">
              <w:rPr>
                <w:rFonts w:ascii="Arial" w:hAnsi="Arial" w:cs="Arial"/>
                <w:color w:val="000000"/>
              </w:rPr>
              <w:t>несыр</w:t>
            </w:r>
            <w:r w:rsidR="00C0514B" w:rsidRPr="00A95D2C">
              <w:rPr>
                <w:rFonts w:ascii="Arial" w:hAnsi="Arial" w:cs="Arial"/>
                <w:color w:val="000000"/>
              </w:rPr>
              <w:t>ьевых</w:t>
            </w:r>
            <w:proofErr w:type="spellEnd"/>
            <w:r w:rsidR="00C0514B" w:rsidRPr="00A95D2C">
              <w:rPr>
                <w:rFonts w:ascii="Arial" w:hAnsi="Arial" w:cs="Arial"/>
                <w:color w:val="000000"/>
              </w:rPr>
              <w:t xml:space="preserve"> отраслях </w:t>
            </w:r>
            <w:r w:rsidR="00DB303B" w:rsidRPr="00A95D2C">
              <w:rPr>
                <w:rFonts w:ascii="Arial" w:hAnsi="Arial" w:cs="Arial"/>
                <w:color w:val="000000"/>
              </w:rPr>
              <w:t>экономики</w:t>
            </w:r>
            <w:r w:rsidR="00C0514B" w:rsidRPr="00A95D2C">
              <w:rPr>
                <w:rFonts w:ascii="Arial" w:hAnsi="Arial" w:cs="Arial"/>
                <w:color w:val="000000"/>
              </w:rPr>
              <w:t xml:space="preserve"> до </w:t>
            </w:r>
            <w:r w:rsidR="003820D4" w:rsidRPr="00A95D2C">
              <w:rPr>
                <w:rFonts w:ascii="Arial" w:hAnsi="Arial" w:cs="Arial"/>
                <w:color w:val="000000"/>
              </w:rPr>
              <w:t>2020</w:t>
            </w:r>
            <w:r w:rsidR="00C0514B" w:rsidRPr="00A95D2C">
              <w:rPr>
                <w:rFonts w:ascii="Arial" w:hAnsi="Arial" w:cs="Arial"/>
                <w:color w:val="000000"/>
              </w:rPr>
              <w:t xml:space="preserve"> г. – </w:t>
            </w:r>
            <w:r w:rsidR="003820D4" w:rsidRPr="00A95D2C">
              <w:rPr>
                <w:rFonts w:ascii="Arial" w:hAnsi="Arial" w:cs="Arial"/>
                <w:color w:val="000000"/>
              </w:rPr>
              <w:t>3,3</w:t>
            </w:r>
            <w:r w:rsidRPr="00A95D2C">
              <w:rPr>
                <w:rFonts w:ascii="Arial" w:hAnsi="Arial" w:cs="Arial"/>
                <w:color w:val="000000"/>
              </w:rPr>
              <w:t>%;</w:t>
            </w:r>
          </w:p>
          <w:p w:rsidR="00FD5725" w:rsidRPr="00A95D2C" w:rsidRDefault="00715A72" w:rsidP="001C5C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  <w:color w:val="000000"/>
              </w:rPr>
              <w:t xml:space="preserve">- </w:t>
            </w:r>
            <w:r w:rsidR="001C5CFA" w:rsidRPr="00A95D2C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</w:t>
            </w:r>
            <w:r w:rsidR="00693D2D" w:rsidRPr="00A95D2C">
              <w:rPr>
                <w:rFonts w:ascii="Arial" w:hAnsi="Arial" w:cs="Arial"/>
                <w:color w:val="000000"/>
              </w:rPr>
              <w:t xml:space="preserve">без долгов» - к 2024 году 0 </w:t>
            </w:r>
            <w:proofErr w:type="spellStart"/>
            <w:r w:rsidR="00693D2D" w:rsidRPr="00A95D2C">
              <w:rPr>
                <w:rFonts w:ascii="Arial" w:hAnsi="Arial" w:cs="Arial"/>
                <w:color w:val="000000"/>
              </w:rPr>
              <w:t>руб</w:t>
            </w:r>
            <w:proofErr w:type="gramStart"/>
            <w:r w:rsidR="00693D2D" w:rsidRPr="00A95D2C">
              <w:rPr>
                <w:rFonts w:ascii="Arial" w:hAnsi="Arial" w:cs="Arial"/>
                <w:color w:val="000000"/>
              </w:rPr>
              <w:t>.</w:t>
            </w:r>
            <w:r w:rsidR="001C5CFA" w:rsidRPr="00A95D2C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в</w:t>
            </w:r>
            <w:proofErr w:type="gramEnd"/>
            <w:r w:rsidR="001C5CFA" w:rsidRPr="00A95D2C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>ыплате</w:t>
            </w:r>
            <w:proofErr w:type="spellEnd"/>
            <w:r w:rsidR="001C5CFA" w:rsidRPr="00A95D2C">
              <w:rPr>
                <w:rFonts w:ascii="Arial" w:hAnsi="Arial" w:cs="Arial"/>
                <w:color w:val="FFFFFF" w:themeColor="background1"/>
                <w:shd w:val="clear" w:color="auto" w:fill="FFFFFF" w:themeFill="background1"/>
              </w:rPr>
              <w:t xml:space="preserve"> заработной платы «Зарплата --з </w:t>
            </w:r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 xml:space="preserve">- Доля обоснованных, частично обоснованных жалоб в Федеральную антимонопольную службу (ФАС России) (от общего количества опубликованных торгов) к 2024 году до </w:t>
            </w:r>
            <w:r w:rsidR="000B7CFD" w:rsidRPr="00A95D2C">
              <w:rPr>
                <w:rFonts w:ascii="Arial" w:hAnsi="Arial" w:cs="Arial"/>
              </w:rPr>
              <w:t>3,6</w:t>
            </w:r>
            <w:r w:rsidRPr="00A95D2C">
              <w:rPr>
                <w:rFonts w:ascii="Arial" w:hAnsi="Arial" w:cs="Arial"/>
              </w:rPr>
              <w:t>%;</w:t>
            </w:r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 Среднее к</w:t>
            </w:r>
            <w:r w:rsidR="00402302" w:rsidRPr="00A95D2C">
              <w:rPr>
                <w:rFonts w:ascii="Arial" w:hAnsi="Arial" w:cs="Arial"/>
              </w:rPr>
              <w:t xml:space="preserve">оличество участников на торгах </w:t>
            </w:r>
            <w:r w:rsidRPr="00A95D2C">
              <w:rPr>
                <w:rFonts w:ascii="Arial" w:hAnsi="Arial" w:cs="Arial"/>
              </w:rPr>
              <w:t xml:space="preserve">к 2024 году </w:t>
            </w:r>
            <w:r w:rsidR="00E64DE5" w:rsidRPr="00A95D2C">
              <w:rPr>
                <w:rFonts w:ascii="Arial" w:hAnsi="Arial" w:cs="Arial"/>
              </w:rPr>
              <w:t>4,5</w:t>
            </w:r>
            <w:r w:rsidRPr="00A95D2C">
              <w:rPr>
                <w:rFonts w:ascii="Arial" w:hAnsi="Arial" w:cs="Arial"/>
              </w:rPr>
              <w:t>;</w:t>
            </w:r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 Доля несостоявшихся торгов от общего количества объявленных торгов к 2024 году до </w:t>
            </w:r>
            <w:r w:rsidR="000B7CFD" w:rsidRPr="00A95D2C">
              <w:rPr>
                <w:rFonts w:ascii="Arial" w:hAnsi="Arial" w:cs="Arial"/>
              </w:rPr>
              <w:t>40</w:t>
            </w:r>
            <w:r w:rsidRPr="00A95D2C">
              <w:rPr>
                <w:rFonts w:ascii="Arial" w:hAnsi="Arial" w:cs="Arial"/>
              </w:rPr>
              <w:t>%</w:t>
            </w:r>
            <w:proofErr w:type="gramStart"/>
            <w:r w:rsidRPr="00A95D2C">
              <w:rPr>
                <w:rFonts w:ascii="Arial" w:hAnsi="Arial" w:cs="Arial"/>
              </w:rPr>
              <w:t xml:space="preserve"> ;</w:t>
            </w:r>
            <w:proofErr w:type="gramEnd"/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Доля </w:t>
            </w:r>
            <w:proofErr w:type="gramStart"/>
            <w:r w:rsidRPr="00A95D2C">
              <w:rPr>
                <w:rFonts w:ascii="Arial" w:hAnsi="Arial" w:cs="Arial"/>
              </w:rPr>
              <w:t>общей экономии денежных средств от общей суммы объявленных торгов до 7%, к концу 2024 г</w:t>
            </w:r>
            <w:proofErr w:type="gramEnd"/>
            <w:r w:rsidR="009B72EF" w:rsidRPr="00A95D2C">
              <w:rPr>
                <w:rFonts w:ascii="Arial" w:hAnsi="Arial" w:cs="Arial"/>
              </w:rPr>
              <w:t>.</w:t>
            </w:r>
            <w:r w:rsidRPr="00A95D2C">
              <w:rPr>
                <w:rFonts w:ascii="Arial" w:hAnsi="Arial" w:cs="Arial"/>
              </w:rPr>
              <w:t>;</w:t>
            </w:r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 Доля закупок среди субъектов малого</w:t>
            </w:r>
            <w:r w:rsidR="000838C7" w:rsidRPr="00A95D2C">
              <w:rPr>
                <w:rFonts w:ascii="Arial" w:hAnsi="Arial" w:cs="Arial"/>
              </w:rPr>
              <w:t xml:space="preserve"> и среднего </w:t>
            </w:r>
            <w:r w:rsidRPr="00A95D2C">
              <w:rPr>
                <w:rFonts w:ascii="Arial" w:hAnsi="Arial" w:cs="Arial"/>
              </w:rPr>
              <w:t xml:space="preserve"> предпринимательства, социально ориентированных некоммерческих организаций осуществляемых закупки в соответствии с Федеральным законом </w:t>
            </w:r>
            <w:r w:rsidR="004A721C" w:rsidRPr="00A95D2C">
              <w:rPr>
                <w:rFonts w:ascii="Arial" w:hAnsi="Arial" w:cs="Arial"/>
              </w:rPr>
              <w:t xml:space="preserve">от 05.04.2013 </w:t>
            </w:r>
            <w:r w:rsidRPr="00A95D2C">
              <w:rPr>
                <w:rFonts w:ascii="Arial" w:hAnsi="Arial" w:cs="Arial"/>
              </w:rPr>
              <w:t>№44-ФЗ</w:t>
            </w:r>
            <w:r w:rsidR="00246E90" w:rsidRPr="00A95D2C">
              <w:rPr>
                <w:rFonts w:ascii="Arial" w:hAnsi="Arial" w:cs="Arial"/>
              </w:rPr>
              <w:t xml:space="preserve"> </w:t>
            </w:r>
            <w:r w:rsidR="00117144" w:rsidRPr="00A95D2C">
              <w:rPr>
                <w:rFonts w:ascii="Arial" w:hAnsi="Arial" w:cs="Arial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  <w:r w:rsidRPr="00A95D2C">
              <w:rPr>
                <w:rFonts w:ascii="Arial" w:hAnsi="Arial" w:cs="Arial"/>
              </w:rPr>
              <w:t xml:space="preserve"> до 3</w:t>
            </w:r>
            <w:r w:rsidR="00E64DE5" w:rsidRPr="00A95D2C">
              <w:rPr>
                <w:rFonts w:ascii="Arial" w:hAnsi="Arial" w:cs="Arial"/>
              </w:rPr>
              <w:t>5</w:t>
            </w:r>
            <w:r w:rsidRPr="00A95D2C">
              <w:rPr>
                <w:rFonts w:ascii="Arial" w:hAnsi="Arial" w:cs="Arial"/>
              </w:rPr>
              <w:t xml:space="preserve">%, к концу </w:t>
            </w:r>
            <w:r w:rsidR="005B0BB2" w:rsidRPr="00A95D2C">
              <w:rPr>
                <w:rFonts w:ascii="Arial" w:hAnsi="Arial" w:cs="Arial"/>
              </w:rPr>
              <w:t>2024 года</w:t>
            </w:r>
            <w:r w:rsidRPr="00A95D2C">
              <w:rPr>
                <w:rFonts w:ascii="Arial" w:hAnsi="Arial" w:cs="Arial"/>
              </w:rPr>
              <w:t>;</w:t>
            </w:r>
          </w:p>
          <w:p w:rsidR="00FD5725" w:rsidRPr="00A95D2C" w:rsidRDefault="00FD5725" w:rsidP="00FD5725">
            <w:pPr>
              <w:ind w:right="-172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Количество реализованных требований Стандарта развития конкуренции в Московской области до </w:t>
            </w:r>
            <w:r w:rsidR="000B7CFD" w:rsidRPr="00A95D2C">
              <w:rPr>
                <w:rFonts w:ascii="Arial" w:hAnsi="Arial" w:cs="Arial"/>
              </w:rPr>
              <w:t>5</w:t>
            </w:r>
            <w:r w:rsidRPr="00A95D2C">
              <w:rPr>
                <w:rFonts w:ascii="Arial" w:hAnsi="Arial" w:cs="Arial"/>
              </w:rPr>
              <w:t>, к концу 2024 года.</w:t>
            </w:r>
          </w:p>
          <w:p w:rsidR="007325F8" w:rsidRPr="00A95D2C" w:rsidRDefault="009B72EF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</w:t>
            </w:r>
            <w:r w:rsidR="004B4449" w:rsidRPr="00A95D2C">
              <w:rPr>
                <w:rFonts w:ascii="Arial" w:hAnsi="Arial" w:cs="Arial"/>
              </w:rPr>
              <w:t xml:space="preserve">Число субъектов малого и среднего предпринимательства </w:t>
            </w:r>
            <w:r w:rsidRPr="00A95D2C">
              <w:rPr>
                <w:rFonts w:ascii="Arial" w:hAnsi="Arial" w:cs="Arial"/>
              </w:rPr>
              <w:t xml:space="preserve"> </w:t>
            </w:r>
            <w:r w:rsidR="007325F8" w:rsidRPr="00A95D2C">
              <w:rPr>
                <w:rFonts w:ascii="Arial" w:hAnsi="Arial" w:cs="Arial"/>
              </w:rPr>
              <w:t>в расчете на 10 тысяч чело</w:t>
            </w:r>
            <w:r w:rsidR="00581253" w:rsidRPr="00A95D2C">
              <w:rPr>
                <w:rFonts w:ascii="Arial" w:hAnsi="Arial" w:cs="Arial"/>
              </w:rPr>
              <w:t xml:space="preserve">век населения </w:t>
            </w:r>
            <w:r w:rsidR="00D720B8" w:rsidRPr="00A95D2C">
              <w:rPr>
                <w:rFonts w:ascii="Arial" w:hAnsi="Arial" w:cs="Arial"/>
              </w:rPr>
              <w:t>к 2024 году до 60</w:t>
            </w:r>
            <w:r w:rsidR="00581253" w:rsidRPr="00A95D2C">
              <w:rPr>
                <w:rFonts w:ascii="Arial" w:hAnsi="Arial" w:cs="Arial"/>
              </w:rPr>
              <w:t>0</w:t>
            </w:r>
            <w:r w:rsidR="007325F8" w:rsidRPr="00A95D2C">
              <w:rPr>
                <w:rFonts w:ascii="Arial" w:hAnsi="Arial" w:cs="Arial"/>
              </w:rPr>
              <w:t xml:space="preserve"> единиц;</w:t>
            </w:r>
          </w:p>
          <w:p w:rsidR="007325F8" w:rsidRPr="00A95D2C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</w:t>
            </w:r>
            <w:r w:rsidR="003811AD" w:rsidRPr="00A95D2C">
              <w:rPr>
                <w:rFonts w:ascii="Arial" w:hAnsi="Arial" w:cs="Arial"/>
              </w:rPr>
              <w:t xml:space="preserve">организаций к 2024 году до 49,28 </w:t>
            </w:r>
            <w:r w:rsidRPr="00A95D2C">
              <w:rPr>
                <w:rFonts w:ascii="Arial" w:hAnsi="Arial" w:cs="Arial"/>
              </w:rPr>
              <w:t>%;</w:t>
            </w:r>
          </w:p>
          <w:p w:rsidR="007325F8" w:rsidRPr="00A95D2C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- Вновь созданные предприятия МСП в сфере производства или услуг </w:t>
            </w:r>
            <w:r w:rsidR="003B0BD5" w:rsidRPr="00A95D2C">
              <w:rPr>
                <w:rFonts w:ascii="Arial" w:hAnsi="Arial" w:cs="Arial"/>
              </w:rPr>
              <w:t xml:space="preserve">к </w:t>
            </w:r>
            <w:r w:rsidRPr="00A95D2C">
              <w:rPr>
                <w:rFonts w:ascii="Arial" w:hAnsi="Arial" w:cs="Arial"/>
              </w:rPr>
              <w:t xml:space="preserve">концу </w:t>
            </w:r>
            <w:r w:rsidR="00D05617" w:rsidRPr="00A95D2C">
              <w:rPr>
                <w:rFonts w:ascii="Arial" w:hAnsi="Arial" w:cs="Arial"/>
              </w:rPr>
              <w:t>20</w:t>
            </w:r>
            <w:r w:rsidRPr="00A95D2C">
              <w:rPr>
                <w:rFonts w:ascii="Arial" w:hAnsi="Arial" w:cs="Arial"/>
              </w:rPr>
              <w:t>24года</w:t>
            </w:r>
            <w:r w:rsidR="0098098D" w:rsidRPr="00A95D2C">
              <w:rPr>
                <w:rFonts w:ascii="Arial" w:hAnsi="Arial" w:cs="Arial"/>
              </w:rPr>
              <w:t xml:space="preserve"> </w:t>
            </w:r>
            <w:r w:rsidR="00001F8D" w:rsidRPr="00A95D2C">
              <w:rPr>
                <w:rFonts w:ascii="Arial" w:hAnsi="Arial" w:cs="Arial"/>
              </w:rPr>
              <w:t>410</w:t>
            </w:r>
            <w:r w:rsidR="00557418" w:rsidRPr="00A95D2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A95D2C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Pr="00A95D2C">
              <w:rPr>
                <w:rFonts w:ascii="Arial" w:hAnsi="Arial" w:cs="Arial"/>
              </w:rPr>
              <w:t>;</w:t>
            </w:r>
          </w:p>
          <w:p w:rsidR="007325F8" w:rsidRPr="00A95D2C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A95D2C">
              <w:rPr>
                <w:rFonts w:ascii="Arial" w:hAnsi="Arial" w:cs="Arial"/>
              </w:rPr>
              <w:t>- Малый бизнес большого региона. Прирост количества субъектов малого и среднего предпринимательства на 10 тыс. населения к</w:t>
            </w:r>
            <w:r w:rsidR="00293462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концу 2024</w:t>
            </w:r>
            <w:r w:rsidR="001C5CFA" w:rsidRPr="00A95D2C">
              <w:rPr>
                <w:rFonts w:ascii="Arial" w:hAnsi="Arial" w:cs="Arial"/>
              </w:rPr>
              <w:t xml:space="preserve"> года 126,6</w:t>
            </w:r>
            <w:r w:rsidR="00800AD8" w:rsidRPr="00A95D2C">
              <w:rPr>
                <w:rFonts w:ascii="Arial" w:hAnsi="Arial" w:cs="Arial"/>
              </w:rPr>
              <w:t xml:space="preserve"> </w:t>
            </w:r>
            <w:r w:rsidRPr="00A95D2C">
              <w:rPr>
                <w:rFonts w:ascii="Arial" w:hAnsi="Arial" w:cs="Arial"/>
              </w:rPr>
              <w:t>ед.;</w:t>
            </w:r>
          </w:p>
          <w:p w:rsidR="007325F8" w:rsidRPr="00A95D2C" w:rsidRDefault="007325F8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95D2C">
              <w:rPr>
                <w:rFonts w:ascii="Arial" w:hAnsi="Arial" w:cs="Arial"/>
                <w:bCs/>
              </w:rPr>
              <w:t>- Количество вновь созданных субъектов МСП участниками проекта, 0,011 тыс. ед.;</w:t>
            </w:r>
          </w:p>
          <w:p w:rsidR="00885F6B" w:rsidRPr="00A95D2C" w:rsidRDefault="00885F6B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95D2C">
              <w:rPr>
                <w:rFonts w:ascii="Arial" w:hAnsi="Arial" w:cs="Arial"/>
                <w:bCs/>
              </w:rPr>
              <w:t>- 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DA24A0" w:rsidRPr="00A95D2C">
              <w:rPr>
                <w:rFonts w:ascii="Arial" w:hAnsi="Arial" w:cs="Arial"/>
                <w:bCs/>
              </w:rPr>
              <w:t xml:space="preserve"> к 2024 году 67786</w:t>
            </w:r>
            <w:r w:rsidR="00557418" w:rsidRPr="00A95D2C">
              <w:rPr>
                <w:rFonts w:ascii="Arial" w:hAnsi="Arial" w:cs="Arial"/>
                <w:bCs/>
              </w:rPr>
              <w:t xml:space="preserve"> </w:t>
            </w:r>
            <w:r w:rsidR="003255D8" w:rsidRPr="00A95D2C">
              <w:rPr>
                <w:rFonts w:ascii="Arial" w:hAnsi="Arial" w:cs="Arial"/>
                <w:bCs/>
              </w:rPr>
              <w:t>человек.</w:t>
            </w:r>
          </w:p>
          <w:p w:rsidR="0021681C" w:rsidRPr="00A95D2C" w:rsidRDefault="0021681C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95D2C">
              <w:rPr>
                <w:rFonts w:ascii="Arial" w:hAnsi="Arial" w:cs="Arial"/>
                <w:bCs/>
              </w:rPr>
              <w:t xml:space="preserve">- Количество </w:t>
            </w:r>
            <w:proofErr w:type="spellStart"/>
            <w:r w:rsidRPr="00A95D2C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A95D2C">
              <w:rPr>
                <w:rFonts w:ascii="Arial" w:hAnsi="Arial" w:cs="Arial"/>
                <w:bCs/>
              </w:rPr>
              <w:t xml:space="preserve"> граждан</w:t>
            </w:r>
            <w:r w:rsidRPr="00A95D2C">
              <w:rPr>
                <w:rFonts w:ascii="Arial" w:hAnsi="Arial" w:cs="Arial"/>
                <w:bCs/>
              </w:rPr>
              <w:t>,</w:t>
            </w:r>
            <w:r w:rsidR="004B4449" w:rsidRPr="00A95D2C">
              <w:rPr>
                <w:rFonts w:ascii="Arial" w:hAnsi="Arial" w:cs="Arial"/>
                <w:bCs/>
              </w:rPr>
              <w:t xml:space="preserve"> зафиксировавших свой статус, с учетом введения налогового режима для </w:t>
            </w:r>
            <w:proofErr w:type="spellStart"/>
            <w:r w:rsidR="004B4449" w:rsidRPr="00A95D2C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="004B4449" w:rsidRPr="00A95D2C">
              <w:rPr>
                <w:rFonts w:ascii="Arial" w:hAnsi="Arial" w:cs="Arial"/>
                <w:bCs/>
              </w:rPr>
              <w:t xml:space="preserve">, нарастающим итогом, человек  </w:t>
            </w:r>
            <w:r w:rsidR="006076CD" w:rsidRPr="00A95D2C">
              <w:rPr>
                <w:rFonts w:ascii="Arial" w:hAnsi="Arial" w:cs="Arial"/>
                <w:bCs/>
              </w:rPr>
              <w:t>к 2024 году 571</w:t>
            </w:r>
            <w:r w:rsidR="00DE032B" w:rsidRPr="00A95D2C">
              <w:rPr>
                <w:rFonts w:ascii="Arial" w:hAnsi="Arial" w:cs="Arial"/>
                <w:bCs/>
              </w:rPr>
              <w:t>5</w:t>
            </w:r>
            <w:r w:rsidR="0027366F" w:rsidRPr="00A95D2C">
              <w:rPr>
                <w:rFonts w:ascii="Arial" w:hAnsi="Arial" w:cs="Arial"/>
                <w:bCs/>
              </w:rPr>
              <w:t xml:space="preserve"> </w:t>
            </w:r>
            <w:r w:rsidR="005D19BF" w:rsidRPr="00A95D2C">
              <w:rPr>
                <w:rFonts w:ascii="Arial" w:hAnsi="Arial" w:cs="Arial"/>
                <w:bCs/>
              </w:rPr>
              <w:t>чел</w:t>
            </w:r>
            <w:r w:rsidRPr="00A95D2C">
              <w:rPr>
                <w:rFonts w:ascii="Arial" w:hAnsi="Arial" w:cs="Arial"/>
                <w:bCs/>
              </w:rPr>
              <w:t>.</w:t>
            </w:r>
          </w:p>
          <w:p w:rsidR="00CA2D0D" w:rsidRPr="00A95D2C" w:rsidRDefault="00CA2D0D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4A6619" w:rsidRPr="00A95D2C" w:rsidRDefault="004A6619" w:rsidP="007325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95D2C">
              <w:rPr>
                <w:rFonts w:ascii="Arial" w:hAnsi="Arial" w:cs="Arial"/>
              </w:rPr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Обеспеченность населения площадью торговых объектов – 1</w:t>
            </w:r>
            <w:r w:rsidR="0049461F" w:rsidRPr="00A95D2C">
              <w:rPr>
                <w:rFonts w:ascii="Arial" w:hAnsi="Arial" w:cs="Arial"/>
              </w:rPr>
              <w:t>132,0</w:t>
            </w:r>
            <w:r w:rsidR="0095321C" w:rsidRPr="00A95D2C">
              <w:rPr>
                <w:rFonts w:ascii="Arial" w:hAnsi="Arial" w:cs="Arial"/>
              </w:rPr>
              <w:t xml:space="preserve"> </w:t>
            </w:r>
            <w:proofErr w:type="spellStart"/>
            <w:r w:rsidR="00530C47" w:rsidRPr="00A95D2C">
              <w:rPr>
                <w:rFonts w:ascii="Arial" w:hAnsi="Arial" w:cs="Arial"/>
              </w:rPr>
              <w:t>кв</w:t>
            </w:r>
            <w:proofErr w:type="gramStart"/>
            <w:r w:rsidR="00530C47" w:rsidRPr="00A95D2C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="00530C47" w:rsidRPr="00A95D2C">
              <w:rPr>
                <w:rFonts w:ascii="Arial" w:hAnsi="Arial" w:cs="Arial"/>
              </w:rPr>
              <w:t>/1000 человек</w:t>
            </w:r>
            <w:r w:rsidRPr="00A95D2C">
              <w:rPr>
                <w:rFonts w:ascii="Arial" w:hAnsi="Arial" w:cs="Arial"/>
              </w:rPr>
              <w:t xml:space="preserve"> к концу 2024 года</w:t>
            </w:r>
          </w:p>
          <w:p w:rsidR="00715A72" w:rsidRPr="00A95D2C" w:rsidRDefault="007325F8" w:rsidP="007325F8">
            <w:pPr>
              <w:rPr>
                <w:rFonts w:ascii="Arial" w:hAnsi="Arial" w:cs="Arial"/>
                <w:color w:val="000000"/>
              </w:rPr>
            </w:pPr>
            <w:r w:rsidRPr="00A95D2C">
              <w:rPr>
                <w:rFonts w:ascii="Arial" w:hAnsi="Arial" w:cs="Arial"/>
                <w:color w:val="000000"/>
              </w:rPr>
              <w:t>-</w:t>
            </w:r>
            <w:r w:rsidR="002F25C0" w:rsidRPr="00A95D2C">
              <w:rPr>
                <w:rFonts w:ascii="Arial" w:hAnsi="Arial" w:cs="Arial"/>
                <w:color w:val="000000"/>
              </w:rPr>
              <w:t> </w:t>
            </w:r>
            <w:r w:rsidRPr="00A95D2C">
              <w:rPr>
                <w:rFonts w:ascii="Arial" w:hAnsi="Arial" w:cs="Arial"/>
                <w:color w:val="000000"/>
              </w:rPr>
              <w:t>Прирост площадей</w:t>
            </w:r>
            <w:r w:rsidR="004D242E" w:rsidRPr="00A95D2C">
              <w:rPr>
                <w:rFonts w:ascii="Arial" w:hAnsi="Arial" w:cs="Arial"/>
                <w:color w:val="000000"/>
              </w:rPr>
              <w:t xml:space="preserve"> торговых объектов к 2024 году 0,9 </w:t>
            </w:r>
            <w:proofErr w:type="spellStart"/>
            <w:r w:rsidR="00530C47" w:rsidRPr="00A95D2C">
              <w:rPr>
                <w:rFonts w:ascii="Arial" w:hAnsi="Arial" w:cs="Arial"/>
                <w:color w:val="000000"/>
              </w:rPr>
              <w:t>тыс.кв</w:t>
            </w:r>
            <w:proofErr w:type="gramStart"/>
            <w:r w:rsidR="00530C47" w:rsidRPr="00A95D2C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</w:p>
          <w:p w:rsidR="00861529" w:rsidRPr="00A95D2C" w:rsidRDefault="00861529" w:rsidP="008615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 </w:t>
            </w:r>
            <w:r w:rsidR="0004274B" w:rsidRPr="00A95D2C">
              <w:rPr>
                <w:rFonts w:ascii="Arial" w:hAnsi="Arial" w:cs="Arial"/>
              </w:rPr>
              <w:t>Цивилизованная торговля (</w:t>
            </w:r>
            <w:r w:rsidRPr="00A95D2C">
              <w:rPr>
                <w:rFonts w:ascii="Arial" w:hAnsi="Arial" w:cs="Arial"/>
              </w:rPr>
              <w:t>Ликвидация незаконных нестационарных торговых о</w:t>
            </w:r>
            <w:r w:rsidR="00111ED4" w:rsidRPr="00A95D2C">
              <w:rPr>
                <w:rFonts w:ascii="Arial" w:hAnsi="Arial" w:cs="Arial"/>
              </w:rPr>
              <w:t>бъектов</w:t>
            </w:r>
            <w:r w:rsidR="0004274B" w:rsidRPr="00A95D2C">
              <w:rPr>
                <w:rFonts w:ascii="Arial" w:hAnsi="Arial" w:cs="Arial"/>
              </w:rPr>
              <w:t>)</w:t>
            </w:r>
            <w:r w:rsidR="00111ED4" w:rsidRPr="00A95D2C">
              <w:rPr>
                <w:rFonts w:ascii="Arial" w:hAnsi="Arial" w:cs="Arial"/>
              </w:rPr>
              <w:t xml:space="preserve"> за 2020 год составила 1200 баллов</w:t>
            </w:r>
          </w:p>
          <w:p w:rsidR="00861529" w:rsidRPr="00A95D2C" w:rsidRDefault="00861529" w:rsidP="007325F8">
            <w:pPr>
              <w:rPr>
                <w:rFonts w:ascii="Arial" w:hAnsi="Arial" w:cs="Arial"/>
                <w:color w:val="000000"/>
              </w:rPr>
            </w:pPr>
          </w:p>
          <w:p w:rsidR="006E1FDC" w:rsidRPr="00A95D2C" w:rsidRDefault="004A6619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="00B33AAD" w:rsidRPr="00A95D2C">
              <w:rPr>
                <w:rFonts w:ascii="Arial" w:hAnsi="Arial" w:cs="Arial"/>
              </w:rPr>
              <w:t>Стандарт</w:t>
            </w:r>
            <w:r w:rsidR="00E00C62" w:rsidRPr="00A95D2C">
              <w:rPr>
                <w:rFonts w:ascii="Arial" w:hAnsi="Arial" w:cs="Arial"/>
              </w:rPr>
              <w:t xml:space="preserve"> потребительского рынка и услуг к концу 2024 года составит 3600 баллов;</w:t>
            </w:r>
          </w:p>
          <w:p w:rsidR="00E00C62" w:rsidRPr="00A95D2C" w:rsidRDefault="00E00C62" w:rsidP="00E00C62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  <w:b/>
                <w:color w:val="000000"/>
              </w:rPr>
              <w:t xml:space="preserve">- </w:t>
            </w:r>
            <w:r w:rsidRPr="00A95D2C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A95D2C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A95D2C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ОДС, к концу 2024 года составит 100%;</w:t>
            </w:r>
          </w:p>
          <w:p w:rsidR="006E1FDC" w:rsidRPr="00A95D2C" w:rsidRDefault="006E1FDC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Прирост посадочных мест на объе</w:t>
            </w:r>
            <w:r w:rsidR="001030E0" w:rsidRPr="00A95D2C">
              <w:rPr>
                <w:rFonts w:ascii="Arial" w:hAnsi="Arial" w:cs="Arial"/>
              </w:rPr>
              <w:t>ктах общественного питания – 34</w:t>
            </w:r>
            <w:r w:rsidR="004A6619" w:rsidRPr="00A95D2C">
              <w:rPr>
                <w:rFonts w:ascii="Arial" w:hAnsi="Arial" w:cs="Arial"/>
              </w:rPr>
              <w:t>0</w:t>
            </w:r>
            <w:r w:rsidRPr="00A95D2C">
              <w:rPr>
                <w:rFonts w:ascii="Arial" w:hAnsi="Arial" w:cs="Arial"/>
              </w:rPr>
              <w:t xml:space="preserve"> посадочных мест на 1000 жителей к концу 2024 года.</w:t>
            </w:r>
          </w:p>
          <w:p w:rsidR="006E1FDC" w:rsidRPr="00A95D2C" w:rsidRDefault="002F25C0" w:rsidP="006E1F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- </w:t>
            </w:r>
            <w:r w:rsidR="006E1FDC" w:rsidRPr="00A95D2C">
              <w:rPr>
                <w:rFonts w:ascii="Arial" w:hAnsi="Arial" w:cs="Arial"/>
              </w:rPr>
              <w:t>Прирост рабочих мест</w:t>
            </w:r>
            <w:r w:rsidR="001030E0" w:rsidRPr="00A95D2C">
              <w:rPr>
                <w:rFonts w:ascii="Arial" w:hAnsi="Arial" w:cs="Arial"/>
              </w:rPr>
              <w:t xml:space="preserve"> на объектах бытового обслуживания – 14</w:t>
            </w:r>
            <w:r w:rsidR="001B2210" w:rsidRPr="00A95D2C">
              <w:rPr>
                <w:rFonts w:ascii="Arial" w:hAnsi="Arial" w:cs="Arial"/>
              </w:rPr>
              <w:t>0</w:t>
            </w:r>
            <w:r w:rsidR="004A6619" w:rsidRPr="00A95D2C">
              <w:rPr>
                <w:rFonts w:ascii="Arial" w:hAnsi="Arial" w:cs="Arial"/>
              </w:rPr>
              <w:t xml:space="preserve"> рабочих мест</w:t>
            </w:r>
            <w:r w:rsidR="006E1FDC" w:rsidRPr="00A95D2C">
              <w:rPr>
                <w:rFonts w:ascii="Arial" w:hAnsi="Arial" w:cs="Arial"/>
              </w:rPr>
              <w:t xml:space="preserve"> на 1000 жителей к концу 2024 года.</w:t>
            </w:r>
          </w:p>
          <w:p w:rsidR="004A6619" w:rsidRPr="00A95D2C" w:rsidRDefault="006E1FDC" w:rsidP="00D03B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-</w:t>
            </w:r>
            <w:r w:rsidR="002F25C0" w:rsidRPr="00A95D2C">
              <w:rPr>
                <w:rFonts w:ascii="Arial" w:hAnsi="Arial" w:cs="Arial"/>
              </w:rPr>
              <w:t> </w:t>
            </w:r>
            <w:r w:rsidRPr="00A95D2C">
              <w:rPr>
                <w:rFonts w:ascii="Arial" w:hAnsi="Arial" w:cs="Arial"/>
              </w:rPr>
              <w:t>Доля обращений по вопросу защиты прав потребителей от общего количества поступивших обращений – 8% к концу 2024 года.</w:t>
            </w:r>
          </w:p>
        </w:tc>
      </w:tr>
    </w:tbl>
    <w:p w:rsidR="00EF6374" w:rsidRPr="00A95D2C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lastRenderedPageBreak/>
        <w:t xml:space="preserve">1. Общая характеристика </w:t>
      </w:r>
      <w:r w:rsidR="000A6931" w:rsidRPr="00A95D2C">
        <w:rPr>
          <w:rFonts w:ascii="Arial" w:hAnsi="Arial" w:cs="Arial"/>
          <w:b/>
        </w:rPr>
        <w:t>сферы реализации</w:t>
      </w:r>
      <w:r w:rsidR="002F25C0" w:rsidRPr="00A95D2C">
        <w:rPr>
          <w:rFonts w:ascii="Arial" w:hAnsi="Arial" w:cs="Arial"/>
          <w:b/>
        </w:rPr>
        <w:t xml:space="preserve"> </w:t>
      </w:r>
      <w:r w:rsidR="00CF413E" w:rsidRPr="00A95D2C">
        <w:rPr>
          <w:rFonts w:ascii="Arial" w:hAnsi="Arial" w:cs="Arial"/>
          <w:b/>
        </w:rPr>
        <w:t xml:space="preserve">муниципальной </w:t>
      </w:r>
      <w:r w:rsidR="00ED4020" w:rsidRPr="00A95D2C">
        <w:rPr>
          <w:rFonts w:ascii="Arial" w:hAnsi="Arial" w:cs="Arial"/>
          <w:b/>
        </w:rPr>
        <w:t>программы</w:t>
      </w:r>
    </w:p>
    <w:p w:rsidR="00EF6374" w:rsidRPr="00A95D2C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A95D2C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A95D2C">
          <w:rPr>
            <w:rFonts w:ascii="Arial" w:hAnsi="Arial" w:cs="Arial"/>
          </w:rPr>
          <w:t>18 км</w:t>
        </w:r>
      </w:smartTag>
      <w:r w:rsidRPr="00A95D2C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A95D2C">
        <w:rPr>
          <w:rFonts w:ascii="Arial" w:hAnsi="Arial" w:cs="Arial"/>
        </w:rPr>
        <w:t>тыс</w:t>
      </w:r>
      <w:proofErr w:type="gramStart"/>
      <w:r w:rsidRPr="00A95D2C">
        <w:rPr>
          <w:rFonts w:ascii="Arial" w:hAnsi="Arial" w:cs="Arial"/>
        </w:rPr>
        <w:t>.г</w:t>
      </w:r>
      <w:proofErr w:type="gramEnd"/>
      <w:r w:rsidRPr="00A95D2C">
        <w:rPr>
          <w:rFonts w:ascii="Arial" w:hAnsi="Arial" w:cs="Arial"/>
        </w:rPr>
        <w:t>а</w:t>
      </w:r>
      <w:proofErr w:type="spellEnd"/>
      <w:r w:rsidRPr="00A95D2C">
        <w:rPr>
          <w:rFonts w:ascii="Arial" w:hAnsi="Arial" w:cs="Arial"/>
        </w:rPr>
        <w:t>,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- площадь лесных угодий – 4,5 тыс. га. </w:t>
      </w:r>
    </w:p>
    <w:p w:rsidR="00DB48B0" w:rsidRPr="00A95D2C" w:rsidRDefault="00EF6374" w:rsidP="00DB48B0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A95D2C" w:rsidRDefault="00EF6374" w:rsidP="00DB48B0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A95D2C">
        <w:rPr>
          <w:rFonts w:ascii="Arial" w:hAnsi="Arial" w:cs="Arial"/>
        </w:rPr>
        <w:t>р.п</w:t>
      </w:r>
      <w:proofErr w:type="gramStart"/>
      <w:r w:rsidRPr="00A95D2C">
        <w:rPr>
          <w:rFonts w:ascii="Arial" w:hAnsi="Arial" w:cs="Arial"/>
        </w:rPr>
        <w:t>.Т</w:t>
      </w:r>
      <w:proofErr w:type="gramEnd"/>
      <w:r w:rsidRPr="00A95D2C">
        <w:rPr>
          <w:rFonts w:ascii="Arial" w:hAnsi="Arial" w:cs="Arial"/>
        </w:rPr>
        <w:t>омилино</w:t>
      </w:r>
      <w:proofErr w:type="spellEnd"/>
      <w:r w:rsidRPr="00A95D2C">
        <w:rPr>
          <w:rFonts w:ascii="Arial" w:hAnsi="Arial" w:cs="Arial"/>
        </w:rPr>
        <w:t xml:space="preserve">, другая -  на восток на </w:t>
      </w:r>
      <w:proofErr w:type="spellStart"/>
      <w:r w:rsidRPr="00A95D2C">
        <w:rPr>
          <w:rFonts w:ascii="Arial" w:hAnsi="Arial" w:cs="Arial"/>
        </w:rPr>
        <w:t>д.п</w:t>
      </w:r>
      <w:proofErr w:type="spellEnd"/>
      <w:r w:rsidRPr="00A95D2C">
        <w:rPr>
          <w:rFonts w:ascii="Arial" w:hAnsi="Arial" w:cs="Arial"/>
        </w:rPr>
        <w:t xml:space="preserve">. </w:t>
      </w:r>
      <w:proofErr w:type="spellStart"/>
      <w:r w:rsidRPr="00A95D2C">
        <w:rPr>
          <w:rFonts w:ascii="Arial" w:hAnsi="Arial" w:cs="Arial"/>
        </w:rPr>
        <w:t>Красково</w:t>
      </w:r>
      <w:proofErr w:type="spellEnd"/>
      <w:r w:rsidRPr="00A95D2C">
        <w:rPr>
          <w:rFonts w:ascii="Arial" w:hAnsi="Arial" w:cs="Arial"/>
        </w:rPr>
        <w:t xml:space="preserve"> и</w:t>
      </w:r>
      <w:r w:rsidR="006F032E" w:rsidRPr="00A95D2C">
        <w:rPr>
          <w:rFonts w:ascii="Arial" w:hAnsi="Arial" w:cs="Arial"/>
        </w:rPr>
        <w:t> </w:t>
      </w:r>
      <w:proofErr w:type="spellStart"/>
      <w:r w:rsidRPr="00A95D2C">
        <w:rPr>
          <w:rFonts w:ascii="Arial" w:hAnsi="Arial" w:cs="Arial"/>
        </w:rPr>
        <w:t>р.п</w:t>
      </w:r>
      <w:proofErr w:type="spellEnd"/>
      <w:r w:rsidRPr="00A95D2C">
        <w:rPr>
          <w:rFonts w:ascii="Arial" w:hAnsi="Arial" w:cs="Arial"/>
        </w:rPr>
        <w:t>.</w:t>
      </w:r>
      <w:r w:rsidR="006F032E" w:rsidRPr="00A95D2C">
        <w:rPr>
          <w:rFonts w:ascii="Arial" w:hAnsi="Arial" w:cs="Arial"/>
        </w:rPr>
        <w:t> </w:t>
      </w:r>
      <w:proofErr w:type="spellStart"/>
      <w:r w:rsidRPr="00A95D2C">
        <w:rPr>
          <w:rFonts w:ascii="Arial" w:hAnsi="Arial" w:cs="Arial"/>
        </w:rPr>
        <w:t>Малаховка</w:t>
      </w:r>
      <w:proofErr w:type="spellEnd"/>
      <w:r w:rsidRPr="00A95D2C">
        <w:rPr>
          <w:rFonts w:ascii="Arial" w:hAnsi="Arial" w:cs="Arial"/>
        </w:rPr>
        <w:t xml:space="preserve"> (Егорьевское шоссе).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Люберцы 2).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A95D2C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A95D2C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A95D2C">
        <w:rPr>
          <w:rFonts w:ascii="Arial" w:hAnsi="Arial" w:cs="Arial"/>
          <w:color w:val="000000"/>
        </w:rPr>
        <w:t>на 01.07.2019</w:t>
      </w:r>
      <w:r w:rsidR="00A509F5" w:rsidRPr="00A95D2C">
        <w:rPr>
          <w:rFonts w:ascii="Arial" w:hAnsi="Arial" w:cs="Arial"/>
          <w:color w:val="000000"/>
        </w:rPr>
        <w:t>г. составила </w:t>
      </w:r>
      <w:r w:rsidRPr="00A95D2C">
        <w:rPr>
          <w:rFonts w:ascii="Arial" w:hAnsi="Arial" w:cs="Arial"/>
          <w:bCs/>
          <w:color w:val="000000"/>
        </w:rPr>
        <w:t>64</w:t>
      </w:r>
      <w:r w:rsidR="006F032E" w:rsidRPr="00A95D2C">
        <w:rPr>
          <w:rFonts w:ascii="Arial" w:hAnsi="Arial" w:cs="Arial"/>
          <w:bCs/>
          <w:color w:val="000000"/>
        </w:rPr>
        <w:t> </w:t>
      </w:r>
      <w:r w:rsidRPr="00A95D2C">
        <w:rPr>
          <w:rFonts w:ascii="Arial" w:hAnsi="Arial" w:cs="Arial"/>
          <w:bCs/>
          <w:color w:val="000000"/>
        </w:rPr>
        <w:t>912,4</w:t>
      </w:r>
      <w:r w:rsidRPr="00A95D2C">
        <w:rPr>
          <w:rFonts w:ascii="Arial" w:hAnsi="Arial" w:cs="Arial"/>
          <w:color w:val="000000"/>
        </w:rPr>
        <w:t> рублей.</w:t>
      </w:r>
    </w:p>
    <w:p w:rsidR="00EF6374" w:rsidRPr="00A95D2C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 xml:space="preserve">внешних совместителей) всех предприятий и организаций составила за первое полугодие 2019г. </w:t>
      </w:r>
      <w:r w:rsidRPr="00A95D2C">
        <w:rPr>
          <w:rFonts w:ascii="Arial" w:hAnsi="Arial" w:cs="Arial"/>
          <w:color w:val="000000"/>
        </w:rPr>
        <w:lastRenderedPageBreak/>
        <w:t>– 47,01%. (</w:t>
      </w:r>
      <w:r w:rsidR="00A509F5" w:rsidRPr="00A95D2C">
        <w:rPr>
          <w:rFonts w:ascii="Arial" w:hAnsi="Arial" w:cs="Arial"/>
          <w:color w:val="000000"/>
        </w:rPr>
        <w:t xml:space="preserve">Среднесписочная численность </w:t>
      </w:r>
      <w:r w:rsidRPr="00A95D2C">
        <w:rPr>
          <w:rFonts w:ascii="Arial" w:hAnsi="Arial" w:cs="Arial"/>
          <w:color w:val="000000"/>
        </w:rPr>
        <w:t xml:space="preserve">МСП за </w:t>
      </w:r>
      <w:r w:rsidR="00A509F5" w:rsidRPr="00A95D2C">
        <w:rPr>
          <w:rFonts w:ascii="Arial" w:hAnsi="Arial" w:cs="Arial"/>
          <w:color w:val="000000"/>
        </w:rPr>
        <w:t>ян</w:t>
      </w:r>
      <w:r w:rsidRPr="00A95D2C">
        <w:rPr>
          <w:rFonts w:ascii="Arial" w:hAnsi="Arial" w:cs="Arial"/>
          <w:color w:val="000000"/>
        </w:rPr>
        <w:t>варь - июнь 2019</w:t>
      </w:r>
      <w:r w:rsidR="00A509F5" w:rsidRPr="00A95D2C">
        <w:rPr>
          <w:rFonts w:ascii="Arial" w:hAnsi="Arial" w:cs="Arial"/>
          <w:color w:val="000000"/>
        </w:rPr>
        <w:t xml:space="preserve"> года составила </w:t>
      </w:r>
      <w:r w:rsidRPr="00A95D2C">
        <w:rPr>
          <w:rFonts w:ascii="Arial" w:hAnsi="Arial" w:cs="Arial"/>
          <w:color w:val="000000"/>
        </w:rPr>
        <w:t>37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A95D2C">
        <w:rPr>
          <w:rFonts w:ascii="Arial" w:hAnsi="Arial" w:cs="Arial"/>
          <w:color w:val="000000"/>
        </w:rPr>
        <w:t>изациям и предприятиям – 79926)</w:t>
      </w:r>
      <w:r w:rsidR="00EF6374" w:rsidRPr="00A95D2C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A95D2C">
        <w:rPr>
          <w:rFonts w:ascii="Arial" w:hAnsi="Arial" w:cs="Arial"/>
        </w:rPr>
        <w:t>Оборонпром</w:t>
      </w:r>
      <w:proofErr w:type="spellEnd"/>
      <w:r w:rsidRPr="00A95D2C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A95D2C">
        <w:rPr>
          <w:rFonts w:ascii="Arial" w:hAnsi="Arial" w:cs="Arial"/>
        </w:rPr>
        <w:t>М.Л.Миля</w:t>
      </w:r>
      <w:proofErr w:type="spellEnd"/>
      <w:r w:rsidRPr="00A95D2C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A95D2C">
        <w:rPr>
          <w:rFonts w:ascii="Arial" w:hAnsi="Arial" w:cs="Arial"/>
        </w:rPr>
        <w:t>Северина</w:t>
      </w:r>
      <w:proofErr w:type="spellEnd"/>
      <w:r w:rsidRPr="00A95D2C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A95D2C">
        <w:rPr>
          <w:rFonts w:ascii="Arial" w:hAnsi="Arial" w:cs="Arial"/>
        </w:rPr>
        <w:t>дств сп</w:t>
      </w:r>
      <w:proofErr w:type="gramEnd"/>
      <w:r w:rsidRPr="00A95D2C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 xml:space="preserve">полете;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A95D2C">
        <w:rPr>
          <w:rFonts w:ascii="Arial" w:hAnsi="Arial" w:cs="Arial"/>
        </w:rPr>
        <w:t>ЭлТом</w:t>
      </w:r>
      <w:proofErr w:type="spellEnd"/>
      <w:r w:rsidRPr="00A95D2C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ЗАО «</w:t>
      </w:r>
      <w:proofErr w:type="spellStart"/>
      <w:r w:rsidRPr="00A95D2C">
        <w:rPr>
          <w:rFonts w:ascii="Arial" w:hAnsi="Arial" w:cs="Arial"/>
        </w:rPr>
        <w:t>Весоизмерительная</w:t>
      </w:r>
      <w:proofErr w:type="spellEnd"/>
      <w:r w:rsidRPr="00A95D2C">
        <w:rPr>
          <w:rFonts w:ascii="Arial" w:hAnsi="Arial" w:cs="Arial"/>
        </w:rPr>
        <w:t xml:space="preserve"> компания «</w:t>
      </w:r>
      <w:proofErr w:type="spellStart"/>
      <w:r w:rsidRPr="00A95D2C">
        <w:rPr>
          <w:rFonts w:ascii="Arial" w:hAnsi="Arial" w:cs="Arial"/>
        </w:rPr>
        <w:t>Тензо</w:t>
      </w:r>
      <w:proofErr w:type="spellEnd"/>
      <w:r w:rsidRPr="00A95D2C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A95D2C">
        <w:rPr>
          <w:rFonts w:ascii="Arial" w:hAnsi="Arial" w:cs="Arial"/>
        </w:rPr>
        <w:t>весоизмерительного</w:t>
      </w:r>
      <w:proofErr w:type="spellEnd"/>
      <w:r w:rsidRPr="00A95D2C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- ООО «НПФ </w:t>
      </w:r>
      <w:proofErr w:type="spellStart"/>
      <w:r w:rsidRPr="00A95D2C">
        <w:rPr>
          <w:rFonts w:ascii="Arial" w:hAnsi="Arial" w:cs="Arial"/>
        </w:rPr>
        <w:t>Техэнергокомплекс</w:t>
      </w:r>
      <w:proofErr w:type="spellEnd"/>
      <w:r w:rsidRPr="00A95D2C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соответственно, дополнительные рабочие места.</w:t>
      </w:r>
    </w:p>
    <w:p w:rsidR="00B60C19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A95D2C">
        <w:rPr>
          <w:rFonts w:ascii="Arial" w:hAnsi="Arial" w:cs="Arial"/>
        </w:rPr>
        <w:t xml:space="preserve">к следствие, заработной платы.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A95D2C">
        <w:rPr>
          <w:rFonts w:ascii="Arial" w:hAnsi="Arial" w:cs="Arial"/>
        </w:rPr>
        <w:t>тойчивого экономического роста.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A95D2C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A95D2C">
        <w:rPr>
          <w:rFonts w:ascii="Arial" w:hAnsi="Arial" w:cs="Arial"/>
        </w:rPr>
        <w:t>городском округе Люберцы</w:t>
      </w:r>
      <w:r w:rsidRPr="00A95D2C">
        <w:rPr>
          <w:rFonts w:ascii="Arial" w:hAnsi="Arial" w:cs="Arial"/>
          <w:bCs/>
        </w:rPr>
        <w:t xml:space="preserve"> Московской области.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lastRenderedPageBreak/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-отсутствие стартового капитала;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A95D2C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A95D2C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A95D2C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A95D2C">
        <w:rPr>
          <w:rFonts w:ascii="Arial" w:hAnsi="Arial" w:cs="Arial"/>
          <w:color w:val="000000"/>
        </w:rPr>
        <w:t>126</w:t>
      </w:r>
      <w:r w:rsidR="006F032E" w:rsidRPr="00A95D2C">
        <w:rPr>
          <w:rFonts w:ascii="Arial" w:hAnsi="Arial" w:cs="Arial"/>
          <w:color w:val="000000"/>
        </w:rPr>
        <w:t xml:space="preserve"> </w:t>
      </w:r>
      <w:r w:rsidRPr="00A95D2C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A95D2C">
        <w:rPr>
          <w:rFonts w:ascii="Arial" w:hAnsi="Arial" w:cs="Arial"/>
          <w:color w:val="000000"/>
        </w:rPr>
        <w:t>№ 44-ФЗ)</w:t>
      </w:r>
      <w:r w:rsidR="00AA54D0" w:rsidRPr="00A95D2C">
        <w:rPr>
          <w:rFonts w:ascii="Arial" w:hAnsi="Arial" w:cs="Arial"/>
          <w:color w:val="000000"/>
        </w:rPr>
        <w:t>.</w:t>
      </w:r>
    </w:p>
    <w:p w:rsidR="00FD5725" w:rsidRPr="00A95D2C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A95D2C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A95D2C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A95D2C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A95D2C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A95D2C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A95D2C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</w:t>
      </w:r>
      <w:proofErr w:type="gramStart"/>
      <w:r w:rsidRPr="00A95D2C">
        <w:rPr>
          <w:rFonts w:ascii="Arial" w:hAnsi="Arial" w:cs="Arial"/>
          <w:color w:val="000000"/>
        </w:rPr>
        <w:t>.</w:t>
      </w:r>
      <w:r w:rsidR="003C287E" w:rsidRPr="00A95D2C">
        <w:rPr>
          <w:rFonts w:ascii="Arial" w:hAnsi="Arial" w:cs="Arial"/>
          <w:color w:val="000000"/>
        </w:rPr>
        <w:t>.</w:t>
      </w:r>
      <w:proofErr w:type="gramEnd"/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lastRenderedPageBreak/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A95D2C" w:rsidRDefault="00EF6374" w:rsidP="006F032E">
      <w:pPr>
        <w:ind w:firstLine="709"/>
        <w:rPr>
          <w:rFonts w:ascii="Arial" w:hAnsi="Arial" w:cs="Arial"/>
        </w:rPr>
      </w:pPr>
      <w:r w:rsidRPr="00A95D2C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A95D2C">
        <w:rPr>
          <w:rFonts w:ascii="Arial" w:hAnsi="Arial" w:cs="Arial"/>
        </w:rPr>
        <w:t xml:space="preserve">. </w:t>
      </w:r>
      <w:r w:rsidRPr="00A95D2C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A95D2C">
        <w:rPr>
          <w:rFonts w:ascii="Arial" w:hAnsi="Arial" w:cs="Arial"/>
        </w:rPr>
        <w:t xml:space="preserve">совершенствования системы </w:t>
      </w:r>
      <w:r w:rsidR="00800AD8" w:rsidRPr="00A95D2C">
        <w:rPr>
          <w:rFonts w:ascii="Arial" w:hAnsi="Arial" w:cs="Arial"/>
        </w:rPr>
        <w:t>защиты прав потребителей</w:t>
      </w:r>
      <w:proofErr w:type="gramEnd"/>
      <w:r w:rsidR="00800AD8" w:rsidRPr="00A95D2C">
        <w:rPr>
          <w:rFonts w:ascii="Arial" w:hAnsi="Arial" w:cs="Arial"/>
        </w:rPr>
        <w:t xml:space="preserve"> путем </w:t>
      </w:r>
      <w:r w:rsidRPr="00A95D2C">
        <w:rPr>
          <w:rFonts w:ascii="Arial" w:hAnsi="Arial" w:cs="Arial"/>
        </w:rPr>
        <w:t>скоординированной работы ТОУ</w:t>
      </w:r>
      <w:r w:rsidR="0040415A" w:rsidRPr="00A95D2C">
        <w:rPr>
          <w:rFonts w:ascii="Arial" w:hAnsi="Arial" w:cs="Arial"/>
        </w:rPr>
        <w:t xml:space="preserve"> </w:t>
      </w:r>
      <w:r w:rsidRPr="00A95D2C">
        <w:rPr>
          <w:rFonts w:ascii="Arial" w:hAnsi="Arial" w:cs="Arial"/>
        </w:rPr>
        <w:t>«</w:t>
      </w:r>
      <w:proofErr w:type="spellStart"/>
      <w:r w:rsidRPr="00A95D2C">
        <w:rPr>
          <w:rFonts w:ascii="Arial" w:hAnsi="Arial" w:cs="Arial"/>
        </w:rPr>
        <w:t>Роспотребнадзор</w:t>
      </w:r>
      <w:proofErr w:type="spellEnd"/>
      <w:r w:rsidRPr="00A95D2C">
        <w:rPr>
          <w:rFonts w:ascii="Arial" w:hAnsi="Arial" w:cs="Arial"/>
        </w:rPr>
        <w:t>»,</w:t>
      </w:r>
      <w:r w:rsidR="00800AD8" w:rsidRPr="00A95D2C">
        <w:rPr>
          <w:rFonts w:ascii="Arial" w:hAnsi="Arial" w:cs="Arial"/>
        </w:rPr>
        <w:t xml:space="preserve"> контрольно-надзорных органов, </w:t>
      </w:r>
      <w:r w:rsidRPr="00A95D2C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позволит сократить  количес</w:t>
      </w:r>
      <w:r w:rsidR="00800AD8" w:rsidRPr="00A95D2C">
        <w:rPr>
          <w:rFonts w:ascii="Arial" w:hAnsi="Arial" w:cs="Arial"/>
        </w:rPr>
        <w:t xml:space="preserve">тво нарушений законодательства </w:t>
      </w:r>
      <w:r w:rsidRPr="00A95D2C">
        <w:rPr>
          <w:rFonts w:ascii="Arial" w:hAnsi="Arial" w:cs="Arial"/>
        </w:rPr>
        <w:t>о защите прав потребите</w:t>
      </w:r>
      <w:r w:rsidR="00800AD8" w:rsidRPr="00A95D2C">
        <w:rPr>
          <w:rFonts w:ascii="Arial" w:hAnsi="Arial" w:cs="Arial"/>
        </w:rPr>
        <w:t xml:space="preserve">лей, развить систему правового </w:t>
      </w:r>
      <w:r w:rsidRPr="00A95D2C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</w:t>
      </w:r>
      <w:r w:rsidRPr="00A95D2C">
        <w:rPr>
          <w:rFonts w:ascii="Arial" w:hAnsi="Arial" w:cs="Arial"/>
        </w:rPr>
        <w:lastRenderedPageBreak/>
        <w:t>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A95D2C" w:rsidRDefault="00EF6374" w:rsidP="006F032E">
      <w:pPr>
        <w:ind w:firstLine="709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Программное реше</w:t>
      </w:r>
      <w:r w:rsidR="00DD2C4B" w:rsidRPr="00A95D2C">
        <w:rPr>
          <w:rFonts w:ascii="Arial" w:hAnsi="Arial" w:cs="Arial"/>
        </w:rPr>
        <w:t xml:space="preserve">ние указанных проблем позволит </w:t>
      </w:r>
      <w:r w:rsidRPr="00A95D2C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A95D2C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A95D2C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A95D2C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A95D2C" w:rsidRDefault="007A423E" w:rsidP="001E4AC6">
      <w:pPr>
        <w:ind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1.</w:t>
      </w:r>
      <w:r w:rsidR="00DD2C4B" w:rsidRPr="00A95D2C">
        <w:rPr>
          <w:rFonts w:ascii="Arial" w:hAnsi="Arial" w:cs="Arial"/>
        </w:rPr>
        <w:t xml:space="preserve">Цель подпрограммы «Инвестиции» - </w:t>
      </w:r>
      <w:r w:rsidRPr="00A95D2C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A95D2C">
        <w:rPr>
          <w:rFonts w:ascii="Arial" w:hAnsi="Arial" w:cs="Arial"/>
        </w:rPr>
        <w:t xml:space="preserve">» направлена на </w:t>
      </w:r>
      <w:r w:rsidR="001E4AC6" w:rsidRPr="00A95D2C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A95D2C">
        <w:rPr>
          <w:rFonts w:ascii="Arial" w:hAnsi="Arial" w:cs="Arial"/>
        </w:rPr>
        <w:t>.</w:t>
      </w:r>
      <w:r w:rsidR="00DA24A0" w:rsidRPr="00A95D2C">
        <w:rPr>
          <w:rFonts w:ascii="Arial" w:hAnsi="Arial" w:cs="Arial"/>
        </w:rPr>
        <w:t xml:space="preserve"> </w:t>
      </w:r>
      <w:r w:rsidR="001E4AC6" w:rsidRPr="00A95D2C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A95D2C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</w:rPr>
        <w:t>2.</w:t>
      </w:r>
      <w:r w:rsidR="001E4AC6" w:rsidRPr="00A95D2C">
        <w:rPr>
          <w:rFonts w:ascii="Arial" w:hAnsi="Arial" w:cs="Arial"/>
        </w:rPr>
        <w:t>Цель подпрограммы «</w:t>
      </w:r>
      <w:r w:rsidRPr="00A95D2C">
        <w:rPr>
          <w:rFonts w:ascii="Arial" w:hAnsi="Arial" w:cs="Arial"/>
        </w:rPr>
        <w:t>Развитие конкуренции</w:t>
      </w:r>
      <w:r w:rsidR="001E4AC6" w:rsidRPr="00A95D2C">
        <w:rPr>
          <w:rFonts w:ascii="Arial" w:hAnsi="Arial" w:cs="Arial"/>
        </w:rPr>
        <w:t xml:space="preserve">»- Развитие конкуренции в городском округе Люберцы путем повышения активизации существующих участников рынка и для </w:t>
      </w:r>
      <w:r w:rsidR="001E4AC6" w:rsidRPr="00A95D2C">
        <w:rPr>
          <w:rFonts w:ascii="Arial" w:hAnsi="Arial" w:cs="Arial"/>
        </w:rPr>
        <w:lastRenderedPageBreak/>
        <w:t>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A95D2C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A95D2C">
        <w:rPr>
          <w:rFonts w:ascii="Arial" w:hAnsi="Arial" w:cs="Arial"/>
        </w:rPr>
        <w:t xml:space="preserve"> </w:t>
      </w:r>
      <w:r w:rsidR="001E4AC6" w:rsidRPr="00A95D2C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A95D2C">
        <w:rPr>
          <w:rFonts w:ascii="Arial" w:hAnsi="Arial" w:cs="Arial"/>
        </w:rPr>
        <w:t> </w:t>
      </w:r>
      <w:r w:rsidR="001E4AC6" w:rsidRPr="00A95D2C">
        <w:rPr>
          <w:rFonts w:ascii="Arial" w:hAnsi="Arial" w:cs="Arial"/>
        </w:rPr>
        <w:t>проведении иных конкурентных процедур.</w:t>
      </w:r>
    </w:p>
    <w:p w:rsidR="001E4AC6" w:rsidRPr="00A95D2C" w:rsidRDefault="001E4AC6" w:rsidP="001E4AC6">
      <w:pPr>
        <w:ind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A95D2C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A95D2C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A95D2C">
        <w:rPr>
          <w:rFonts w:ascii="Arial" w:hAnsi="Arial" w:cs="Arial"/>
        </w:rPr>
        <w:t>2</w:t>
      </w:r>
      <w:proofErr w:type="gramEnd"/>
      <w:r w:rsidRPr="00A95D2C">
        <w:rPr>
          <w:rFonts w:ascii="Arial" w:hAnsi="Arial" w:cs="Arial"/>
        </w:rPr>
        <w:t xml:space="preserve"> и ОКПД2.</w:t>
      </w:r>
    </w:p>
    <w:p w:rsidR="001E4AC6" w:rsidRPr="00A95D2C" w:rsidRDefault="001E4AC6" w:rsidP="001E4AC6">
      <w:pPr>
        <w:ind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A95D2C" w:rsidRDefault="007A423E" w:rsidP="001A0FB7">
      <w:pPr>
        <w:ind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3. </w:t>
      </w:r>
      <w:proofErr w:type="gramStart"/>
      <w:r w:rsidR="001E4AC6" w:rsidRPr="00A95D2C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A95D2C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A95D2C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A95D2C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A95D2C">
        <w:rPr>
          <w:rFonts w:ascii="Arial" w:hAnsi="Arial" w:cs="Arial"/>
        </w:rPr>
        <w:t xml:space="preserve"> </w:t>
      </w:r>
      <w:r w:rsidR="001A0FB7" w:rsidRPr="00A95D2C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7A423E" w:rsidRPr="00A95D2C" w:rsidRDefault="00FD33A6" w:rsidP="007A423E">
      <w:pPr>
        <w:ind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4</w:t>
      </w:r>
      <w:r w:rsidR="00475374" w:rsidRPr="00A95D2C">
        <w:rPr>
          <w:rFonts w:ascii="Arial" w:hAnsi="Arial" w:cs="Arial"/>
        </w:rPr>
        <w:t xml:space="preserve">. </w:t>
      </w:r>
      <w:r w:rsidR="00965904" w:rsidRPr="00A95D2C">
        <w:rPr>
          <w:rFonts w:ascii="Arial" w:hAnsi="Arial" w:cs="Arial"/>
        </w:rPr>
        <w:t>Цель подпрограммы «Развитие потребительского рынка</w:t>
      </w:r>
      <w:r w:rsidR="00604478" w:rsidRPr="00A95D2C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A95D2C">
        <w:rPr>
          <w:rFonts w:ascii="Arial" w:hAnsi="Arial" w:cs="Arial"/>
        </w:rPr>
        <w:t xml:space="preserve">» - </w:t>
      </w:r>
      <w:r w:rsidR="007A423E" w:rsidRPr="00A95D2C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4B11AA" w:rsidRPr="00A95D2C" w:rsidRDefault="004B11AA" w:rsidP="007A423E">
      <w:pPr>
        <w:ind w:firstLine="567"/>
        <w:jc w:val="both"/>
        <w:rPr>
          <w:rFonts w:ascii="Arial" w:hAnsi="Arial" w:cs="Arial"/>
        </w:rPr>
      </w:pPr>
    </w:p>
    <w:p w:rsidR="008779EA" w:rsidRPr="00A95D2C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3.  Прогноз разв</w:t>
      </w:r>
      <w:r w:rsidR="003C287E" w:rsidRPr="00A95D2C">
        <w:rPr>
          <w:rFonts w:ascii="Arial" w:hAnsi="Arial" w:cs="Arial"/>
          <w:b/>
        </w:rPr>
        <w:t>ития</w:t>
      </w:r>
      <w:r w:rsidR="007B16E5" w:rsidRPr="00A95D2C">
        <w:rPr>
          <w:rFonts w:ascii="Arial" w:hAnsi="Arial" w:cs="Arial"/>
          <w:b/>
        </w:rPr>
        <w:t xml:space="preserve"> соответствующей сферы реализации </w:t>
      </w:r>
      <w:r w:rsidR="00CF413E" w:rsidRPr="00A95D2C">
        <w:rPr>
          <w:rFonts w:ascii="Arial" w:hAnsi="Arial" w:cs="Arial"/>
          <w:b/>
        </w:rPr>
        <w:t xml:space="preserve">муниципальной </w:t>
      </w:r>
      <w:r w:rsidR="007B16E5" w:rsidRPr="00A95D2C">
        <w:rPr>
          <w:rFonts w:ascii="Arial" w:hAnsi="Arial" w:cs="Arial"/>
          <w:b/>
        </w:rPr>
        <w:t>программы</w:t>
      </w:r>
    </w:p>
    <w:p w:rsidR="00237358" w:rsidRPr="00A95D2C" w:rsidRDefault="00237358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инвестиций, конкурентной политике, торговли и похоронного дела.</w:t>
      </w:r>
    </w:p>
    <w:p w:rsidR="008779EA" w:rsidRPr="00A95D2C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A95D2C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</w:t>
      </w:r>
      <w:r w:rsidRPr="00A95D2C">
        <w:rPr>
          <w:rFonts w:ascii="Arial" w:hAnsi="Arial" w:cs="Arial"/>
          <w:color w:val="000000"/>
        </w:rPr>
        <w:lastRenderedPageBreak/>
        <w:t>к</w:t>
      </w:r>
      <w:r w:rsidR="00980085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A95D2C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A95D2C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A95D2C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A95D2C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A95D2C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A95D2C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A95D2C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2200E4" w:rsidRPr="00A95D2C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650F2E" w:rsidRPr="00A95D2C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Количество созданных</w:t>
      </w:r>
      <w:r w:rsidR="00BA75B8" w:rsidRPr="00A95D2C">
        <w:rPr>
          <w:rFonts w:ascii="Arial" w:hAnsi="Arial" w:cs="Arial"/>
          <w:color w:val="000000"/>
        </w:rPr>
        <w:t xml:space="preserve"> рабочих мест </w:t>
      </w:r>
      <w:r w:rsidR="005E7BD2" w:rsidRPr="00A95D2C">
        <w:rPr>
          <w:rFonts w:ascii="Arial" w:hAnsi="Arial" w:cs="Arial"/>
          <w:color w:val="000000"/>
        </w:rPr>
        <w:t xml:space="preserve">в </w:t>
      </w:r>
      <w:r w:rsidR="00BA75B8" w:rsidRPr="00A95D2C">
        <w:rPr>
          <w:rFonts w:ascii="Arial" w:hAnsi="Arial" w:cs="Arial"/>
          <w:color w:val="000000"/>
        </w:rPr>
        <w:t xml:space="preserve">к </w:t>
      </w:r>
      <w:r w:rsidR="00105E6C" w:rsidRPr="00A95D2C">
        <w:rPr>
          <w:rFonts w:ascii="Arial" w:hAnsi="Arial" w:cs="Arial"/>
          <w:color w:val="000000"/>
        </w:rPr>
        <w:t>2024 году 18</w:t>
      </w:r>
      <w:r w:rsidR="00753D19" w:rsidRPr="00A95D2C">
        <w:rPr>
          <w:rFonts w:ascii="Arial" w:hAnsi="Arial" w:cs="Arial"/>
          <w:color w:val="000000"/>
        </w:rPr>
        <w:t>80</w:t>
      </w:r>
      <w:r w:rsidRPr="00A95D2C">
        <w:rPr>
          <w:rFonts w:ascii="Arial" w:hAnsi="Arial" w:cs="Arial"/>
          <w:color w:val="000000"/>
        </w:rPr>
        <w:t xml:space="preserve"> единицы.</w:t>
      </w:r>
    </w:p>
    <w:p w:rsidR="00650F2E" w:rsidRPr="00A95D2C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A95D2C">
        <w:rPr>
          <w:rFonts w:ascii="Arial" w:hAnsi="Arial" w:cs="Arial"/>
          <w:color w:val="000000"/>
        </w:rPr>
        <w:t>мательства, к 2024 году на 10</w:t>
      </w:r>
      <w:r w:rsidR="0095321C" w:rsidRPr="00A95D2C">
        <w:rPr>
          <w:rFonts w:ascii="Arial" w:hAnsi="Arial" w:cs="Arial"/>
          <w:color w:val="000000"/>
        </w:rPr>
        <w:t>3</w:t>
      </w:r>
      <w:r w:rsidR="002A0EA5" w:rsidRPr="00A95D2C">
        <w:rPr>
          <w:rFonts w:ascii="Arial" w:hAnsi="Arial" w:cs="Arial"/>
          <w:color w:val="000000"/>
        </w:rPr>
        <w:t>,</w:t>
      </w:r>
      <w:r w:rsidR="0095321C" w:rsidRPr="00A95D2C">
        <w:rPr>
          <w:rFonts w:ascii="Arial" w:hAnsi="Arial" w:cs="Arial"/>
          <w:color w:val="000000"/>
        </w:rPr>
        <w:t>1</w:t>
      </w:r>
      <w:r w:rsidRPr="00A95D2C">
        <w:rPr>
          <w:rFonts w:ascii="Arial" w:hAnsi="Arial" w:cs="Arial"/>
          <w:color w:val="000000"/>
        </w:rPr>
        <w:t>%;</w:t>
      </w:r>
    </w:p>
    <w:p w:rsidR="00650F2E" w:rsidRPr="00A95D2C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 </w:t>
      </w:r>
      <w:r w:rsidR="0098098D" w:rsidRPr="00A95D2C">
        <w:rPr>
          <w:rFonts w:ascii="Arial" w:hAnsi="Arial" w:cs="Arial"/>
        </w:rPr>
        <w:t>Проце</w:t>
      </w:r>
      <w:r w:rsidR="005B4AB3" w:rsidRPr="00A95D2C">
        <w:rPr>
          <w:rFonts w:ascii="Arial" w:hAnsi="Arial" w:cs="Arial"/>
        </w:rPr>
        <w:t>нт заполняемости многофункциональных</w:t>
      </w:r>
      <w:r w:rsidR="0098098D" w:rsidRPr="00A95D2C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230BD" w:rsidRPr="00A95D2C">
        <w:rPr>
          <w:rFonts w:ascii="Arial" w:hAnsi="Arial" w:cs="Arial"/>
          <w:color w:val="000000"/>
        </w:rPr>
        <w:t xml:space="preserve">к 2024 году </w:t>
      </w:r>
      <w:r w:rsidR="005B4AB3" w:rsidRPr="00A95D2C">
        <w:rPr>
          <w:rFonts w:ascii="Arial" w:hAnsi="Arial" w:cs="Arial"/>
          <w:color w:val="000000"/>
        </w:rPr>
        <w:t xml:space="preserve">- </w:t>
      </w:r>
      <w:r w:rsidR="002A0EA5" w:rsidRPr="00A95D2C">
        <w:rPr>
          <w:rFonts w:ascii="Arial" w:hAnsi="Arial" w:cs="Arial"/>
          <w:color w:val="000000"/>
        </w:rPr>
        <w:t>1</w:t>
      </w:r>
      <w:r w:rsidR="00F230BD" w:rsidRPr="00A95D2C">
        <w:rPr>
          <w:rFonts w:ascii="Arial" w:hAnsi="Arial" w:cs="Arial"/>
          <w:color w:val="000000"/>
        </w:rPr>
        <w:t>00</w:t>
      </w:r>
      <w:r w:rsidRPr="00A95D2C">
        <w:rPr>
          <w:rFonts w:ascii="Arial" w:hAnsi="Arial" w:cs="Arial"/>
          <w:color w:val="000000"/>
        </w:rPr>
        <w:t>%;</w:t>
      </w:r>
    </w:p>
    <w:p w:rsidR="00F230BD" w:rsidRPr="00A95D2C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A95D2C">
        <w:rPr>
          <w:rFonts w:ascii="Arial" w:hAnsi="Arial" w:cs="Arial"/>
          <w:color w:val="000000" w:themeColor="text1"/>
        </w:rPr>
        <w:t xml:space="preserve">- </w:t>
      </w:r>
      <w:r w:rsidR="00F230BD" w:rsidRPr="00A95D2C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A95D2C">
        <w:rPr>
          <w:rFonts w:ascii="Arial" w:hAnsi="Arial" w:cs="Arial"/>
          <w:color w:val="000000" w:themeColor="text1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A95D2C">
        <w:rPr>
          <w:rFonts w:ascii="Arial" w:hAnsi="Arial" w:cs="Arial"/>
          <w:color w:val="000000" w:themeColor="text1"/>
        </w:rPr>
        <w:t xml:space="preserve"> в 2024 году 2 ед.;</w:t>
      </w:r>
    </w:p>
    <w:p w:rsidR="0098098D" w:rsidRPr="00A95D2C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A95D2C">
        <w:rPr>
          <w:rFonts w:ascii="Arial" w:hAnsi="Arial" w:cs="Arial"/>
          <w:color w:val="000000"/>
        </w:rPr>
        <w:t xml:space="preserve">- </w:t>
      </w:r>
      <w:r w:rsidR="00F230BD" w:rsidRPr="00A95D2C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A95D2C">
        <w:rPr>
          <w:rFonts w:ascii="Arial" w:hAnsi="Arial" w:cs="Arial"/>
        </w:rPr>
        <w:t xml:space="preserve">х парков, промышленных площадок </w:t>
      </w:r>
      <w:r w:rsidR="00F230BD" w:rsidRPr="00A95D2C">
        <w:rPr>
          <w:rFonts w:ascii="Arial" w:hAnsi="Arial" w:cs="Arial"/>
        </w:rPr>
        <w:t xml:space="preserve"> в 202</w:t>
      </w:r>
      <w:r w:rsidR="00F81FB6" w:rsidRPr="00A95D2C">
        <w:rPr>
          <w:rFonts w:ascii="Arial" w:hAnsi="Arial" w:cs="Arial"/>
        </w:rPr>
        <w:t>4 году – 0</w:t>
      </w:r>
      <w:r w:rsidR="00F230BD" w:rsidRPr="00A95D2C">
        <w:rPr>
          <w:rFonts w:ascii="Arial" w:hAnsi="Arial" w:cs="Arial"/>
        </w:rPr>
        <w:t xml:space="preserve"> ед</w:t>
      </w:r>
      <w:r w:rsidR="0098098D" w:rsidRPr="00A95D2C">
        <w:rPr>
          <w:rFonts w:ascii="Arial" w:hAnsi="Arial" w:cs="Arial"/>
        </w:rPr>
        <w:t>.</w:t>
      </w:r>
    </w:p>
    <w:p w:rsidR="000E191E" w:rsidRPr="00A95D2C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A95D2C">
        <w:rPr>
          <w:rFonts w:ascii="Arial" w:hAnsi="Arial" w:cs="Arial"/>
        </w:rPr>
        <w:t>- Площадь территории, на которую привлечены новые резиденты – к 2024 году 8,49 га;</w:t>
      </w:r>
    </w:p>
    <w:p w:rsidR="00650F2E" w:rsidRPr="00A95D2C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A95D2C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A95D2C">
        <w:rPr>
          <w:rFonts w:ascii="Arial" w:hAnsi="Arial" w:cs="Arial"/>
          <w:color w:val="000000"/>
        </w:rPr>
        <w:t xml:space="preserve">68,62 </w:t>
      </w:r>
      <w:proofErr w:type="spellStart"/>
      <w:r w:rsidRPr="00A95D2C">
        <w:rPr>
          <w:rFonts w:ascii="Arial" w:hAnsi="Arial" w:cs="Arial"/>
          <w:color w:val="000000"/>
        </w:rPr>
        <w:t>тыс</w:t>
      </w:r>
      <w:proofErr w:type="gramStart"/>
      <w:r w:rsidRPr="00A95D2C">
        <w:rPr>
          <w:rFonts w:ascii="Arial" w:hAnsi="Arial" w:cs="Arial"/>
          <w:color w:val="000000"/>
        </w:rPr>
        <w:t>.р</w:t>
      </w:r>
      <w:proofErr w:type="gramEnd"/>
      <w:r w:rsidRPr="00A95D2C">
        <w:rPr>
          <w:rFonts w:ascii="Arial" w:hAnsi="Arial" w:cs="Arial"/>
          <w:color w:val="000000"/>
        </w:rPr>
        <w:t>уб</w:t>
      </w:r>
      <w:proofErr w:type="spellEnd"/>
      <w:r w:rsidRPr="00A95D2C">
        <w:rPr>
          <w:rFonts w:ascii="Arial" w:hAnsi="Arial" w:cs="Arial"/>
          <w:color w:val="000000"/>
        </w:rPr>
        <w:t>.</w:t>
      </w:r>
      <w:r w:rsidR="00F230BD" w:rsidRPr="00A95D2C">
        <w:rPr>
          <w:rFonts w:ascii="Arial" w:hAnsi="Arial" w:cs="Arial"/>
          <w:color w:val="000000"/>
        </w:rPr>
        <w:t>;</w:t>
      </w:r>
    </w:p>
    <w:p w:rsidR="004B11AA" w:rsidRPr="00A95D2C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A95D2C">
        <w:rPr>
          <w:rFonts w:ascii="Arial" w:hAnsi="Arial" w:cs="Arial"/>
          <w:color w:val="000000"/>
        </w:rPr>
        <w:t>– 101,5%.</w:t>
      </w:r>
    </w:p>
    <w:p w:rsidR="00F230BD" w:rsidRPr="00A95D2C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A95D2C">
        <w:rPr>
          <w:rFonts w:ascii="Arial" w:hAnsi="Arial" w:cs="Arial"/>
          <w:color w:val="000000"/>
        </w:rPr>
        <w:t>-</w:t>
      </w:r>
      <w:r w:rsidRPr="00A95D2C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A95D2C">
        <w:rPr>
          <w:rFonts w:ascii="Arial" w:hAnsi="Arial" w:cs="Arial"/>
        </w:rPr>
        <w:t xml:space="preserve">федерального бюджета </w:t>
      </w:r>
      <w:r w:rsidR="000A3F3E" w:rsidRPr="00A95D2C">
        <w:rPr>
          <w:rFonts w:ascii="Arial" w:hAnsi="Arial" w:cs="Arial"/>
        </w:rPr>
        <w:t>к 2024</w:t>
      </w:r>
      <w:r w:rsidRPr="00A95D2C">
        <w:rPr>
          <w:rFonts w:ascii="Arial" w:hAnsi="Arial" w:cs="Arial"/>
        </w:rPr>
        <w:t xml:space="preserve"> году</w:t>
      </w:r>
      <w:r w:rsidR="00F81FB6" w:rsidRPr="00A95D2C">
        <w:rPr>
          <w:rFonts w:ascii="Arial" w:hAnsi="Arial" w:cs="Arial"/>
        </w:rPr>
        <w:t xml:space="preserve"> – 21664945,94</w:t>
      </w:r>
      <w:r w:rsidR="00DA24A0" w:rsidRPr="00A95D2C">
        <w:rPr>
          <w:rFonts w:ascii="Arial" w:hAnsi="Arial" w:cs="Arial"/>
        </w:rPr>
        <w:t xml:space="preserve"> тыс. </w:t>
      </w:r>
      <w:proofErr w:type="spellStart"/>
      <w:r w:rsidR="00DA24A0" w:rsidRPr="00A95D2C">
        <w:rPr>
          <w:rFonts w:ascii="Arial" w:hAnsi="Arial" w:cs="Arial"/>
        </w:rPr>
        <w:t>руб</w:t>
      </w:r>
      <w:proofErr w:type="spellEnd"/>
      <w:r w:rsidRPr="00A95D2C">
        <w:rPr>
          <w:rFonts w:ascii="Arial" w:hAnsi="Arial" w:cs="Arial"/>
        </w:rPr>
        <w:t xml:space="preserve">; </w:t>
      </w:r>
    </w:p>
    <w:p w:rsidR="00650F2E" w:rsidRPr="00A95D2C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A95D2C">
        <w:rPr>
          <w:rFonts w:ascii="Arial" w:hAnsi="Arial" w:cs="Arial"/>
          <w:color w:val="000000"/>
        </w:rPr>
        <w:t>несырьевых</w:t>
      </w:r>
      <w:proofErr w:type="spellEnd"/>
      <w:r w:rsidRPr="00A95D2C">
        <w:rPr>
          <w:rFonts w:ascii="Arial" w:hAnsi="Arial" w:cs="Arial"/>
          <w:color w:val="000000"/>
        </w:rPr>
        <w:t xml:space="preserve"> отраслях </w:t>
      </w:r>
      <w:r w:rsidR="00DB303B" w:rsidRPr="00A95D2C">
        <w:rPr>
          <w:rFonts w:ascii="Arial" w:hAnsi="Arial" w:cs="Arial"/>
          <w:color w:val="000000"/>
        </w:rPr>
        <w:t>экономики</w:t>
      </w:r>
      <w:r w:rsidR="004B11AA" w:rsidRPr="00A95D2C">
        <w:rPr>
          <w:rFonts w:ascii="Arial" w:hAnsi="Arial" w:cs="Arial"/>
          <w:color w:val="000000"/>
        </w:rPr>
        <w:t xml:space="preserve"> до 2020</w:t>
      </w:r>
      <w:r w:rsidRPr="00A95D2C">
        <w:rPr>
          <w:rFonts w:ascii="Arial" w:hAnsi="Arial" w:cs="Arial"/>
          <w:color w:val="000000"/>
        </w:rPr>
        <w:t xml:space="preserve"> г. – </w:t>
      </w:r>
      <w:r w:rsidR="004B11AA" w:rsidRPr="00A95D2C">
        <w:rPr>
          <w:rFonts w:ascii="Arial" w:hAnsi="Arial" w:cs="Arial"/>
          <w:color w:val="000000"/>
        </w:rPr>
        <w:t xml:space="preserve">3,3 </w:t>
      </w:r>
      <w:r w:rsidRPr="00A95D2C">
        <w:rPr>
          <w:rFonts w:ascii="Arial" w:hAnsi="Arial" w:cs="Arial"/>
          <w:color w:val="000000"/>
        </w:rPr>
        <w:t>%;</w:t>
      </w:r>
    </w:p>
    <w:p w:rsidR="006D79CB" w:rsidRPr="00A95D2C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A95D2C">
        <w:rPr>
          <w:rFonts w:ascii="Arial" w:hAnsi="Arial" w:cs="Arial"/>
          <w:color w:val="000000"/>
        </w:rPr>
        <w:t xml:space="preserve">к 2024 году </w:t>
      </w:r>
      <w:r w:rsidRPr="00A95D2C">
        <w:rPr>
          <w:rFonts w:ascii="Arial" w:hAnsi="Arial" w:cs="Arial"/>
          <w:color w:val="000000"/>
        </w:rPr>
        <w:t>0 руб.</w:t>
      </w:r>
    </w:p>
    <w:p w:rsidR="005B0BB2" w:rsidRPr="00A95D2C" w:rsidRDefault="00FD5725" w:rsidP="005B0BB2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 xml:space="preserve">2024 году до </w:t>
      </w:r>
      <w:r w:rsidR="000B7CFD" w:rsidRPr="00A95D2C">
        <w:rPr>
          <w:rFonts w:ascii="Arial" w:hAnsi="Arial" w:cs="Arial"/>
          <w:color w:val="000000"/>
        </w:rPr>
        <w:t>3,6</w:t>
      </w:r>
      <w:r w:rsidRPr="00A95D2C">
        <w:rPr>
          <w:rFonts w:ascii="Arial" w:hAnsi="Arial" w:cs="Arial"/>
          <w:color w:val="000000"/>
        </w:rPr>
        <w:t>%;</w:t>
      </w:r>
    </w:p>
    <w:p w:rsidR="005B0BB2" w:rsidRPr="00A95D2C" w:rsidRDefault="005B0BB2" w:rsidP="005B0BB2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 Доля несостоявшихся торгов от общего количества объявленных торгов к 2024 году до 40%;</w:t>
      </w:r>
    </w:p>
    <w:p w:rsidR="00FD5725" w:rsidRPr="00A95D2C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Среднее к</w:t>
      </w:r>
      <w:r w:rsidR="00117144" w:rsidRPr="00A95D2C">
        <w:rPr>
          <w:rFonts w:ascii="Arial" w:hAnsi="Arial" w:cs="Arial"/>
          <w:color w:val="000000"/>
        </w:rPr>
        <w:t xml:space="preserve">оличество участников на торгах </w:t>
      </w:r>
      <w:r w:rsidR="000B7CFD" w:rsidRPr="00A95D2C">
        <w:rPr>
          <w:rFonts w:ascii="Arial" w:hAnsi="Arial" w:cs="Arial"/>
          <w:color w:val="000000"/>
        </w:rPr>
        <w:t xml:space="preserve">к 2024 году </w:t>
      </w:r>
      <w:r w:rsidR="00E64DE5" w:rsidRPr="00A95D2C">
        <w:rPr>
          <w:rFonts w:ascii="Arial" w:hAnsi="Arial" w:cs="Arial"/>
          <w:color w:val="000000"/>
        </w:rPr>
        <w:t>4,5</w:t>
      </w:r>
      <w:r w:rsidR="005B0BB2" w:rsidRPr="00A95D2C">
        <w:rPr>
          <w:rFonts w:ascii="Arial" w:hAnsi="Arial" w:cs="Arial"/>
          <w:color w:val="000000"/>
        </w:rPr>
        <w:t>;</w:t>
      </w:r>
    </w:p>
    <w:p w:rsidR="00FD5725" w:rsidRPr="00A95D2C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Доля </w:t>
      </w:r>
      <w:proofErr w:type="gramStart"/>
      <w:r w:rsidRPr="00A95D2C">
        <w:rPr>
          <w:rFonts w:ascii="Arial" w:hAnsi="Arial" w:cs="Arial"/>
          <w:color w:val="000000"/>
        </w:rPr>
        <w:t>общей экономии денежных средств от общей суммы объявленных торгов до 7%, к концу 2024 года</w:t>
      </w:r>
      <w:proofErr w:type="gramEnd"/>
      <w:r w:rsidRPr="00A95D2C">
        <w:rPr>
          <w:rFonts w:ascii="Arial" w:hAnsi="Arial" w:cs="Arial"/>
          <w:color w:val="000000"/>
        </w:rPr>
        <w:t>;</w:t>
      </w:r>
    </w:p>
    <w:p w:rsidR="00FD5725" w:rsidRPr="00A95D2C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Доля закупок среди субъектов малого </w:t>
      </w:r>
      <w:r w:rsidR="008F2B62" w:rsidRPr="00A95D2C">
        <w:rPr>
          <w:rFonts w:ascii="Arial" w:hAnsi="Arial" w:cs="Arial"/>
          <w:color w:val="000000"/>
        </w:rPr>
        <w:t xml:space="preserve">и среднего </w:t>
      </w:r>
      <w:r w:rsidRPr="00A95D2C">
        <w:rPr>
          <w:rFonts w:ascii="Arial" w:hAnsi="Arial" w:cs="Arial"/>
          <w:color w:val="00000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 w:rsidRPr="00A95D2C">
        <w:rPr>
          <w:rFonts w:ascii="Arial" w:hAnsi="Arial" w:cs="Arial"/>
          <w:color w:val="000000"/>
        </w:rPr>
        <w:t xml:space="preserve">от 05.04.2013 </w:t>
      </w:r>
      <w:r w:rsidRPr="00A95D2C">
        <w:rPr>
          <w:rFonts w:ascii="Arial" w:hAnsi="Arial" w:cs="Arial"/>
          <w:color w:val="000000"/>
        </w:rPr>
        <w:t xml:space="preserve">№44-ФЗ </w:t>
      </w:r>
      <w:r w:rsidR="00117144" w:rsidRPr="00A95D2C">
        <w:rPr>
          <w:rFonts w:ascii="Arial" w:hAnsi="Arial" w:cs="Arial"/>
          <w:color w:val="000000"/>
        </w:rPr>
        <w:t xml:space="preserve">"О контрактной системе в </w:t>
      </w:r>
      <w:r w:rsidR="00117144" w:rsidRPr="00A95D2C">
        <w:rPr>
          <w:rFonts w:ascii="Arial" w:hAnsi="Arial" w:cs="Arial"/>
          <w:color w:val="000000"/>
        </w:rPr>
        <w:lastRenderedPageBreak/>
        <w:t xml:space="preserve">сфере закупок товаров, работ, услуг для обеспечения государственных и муниципальных нужд" </w:t>
      </w:r>
      <w:r w:rsidR="005B0BB2" w:rsidRPr="00A95D2C">
        <w:rPr>
          <w:rFonts w:ascii="Arial" w:hAnsi="Arial" w:cs="Arial"/>
          <w:color w:val="000000"/>
        </w:rPr>
        <w:t>до 3</w:t>
      </w:r>
      <w:r w:rsidR="00E64DE5" w:rsidRPr="00A95D2C">
        <w:rPr>
          <w:rFonts w:ascii="Arial" w:hAnsi="Arial" w:cs="Arial"/>
          <w:color w:val="000000"/>
        </w:rPr>
        <w:t>5</w:t>
      </w:r>
      <w:r w:rsidR="005B0BB2" w:rsidRPr="00A95D2C">
        <w:rPr>
          <w:rFonts w:ascii="Arial" w:hAnsi="Arial" w:cs="Arial"/>
          <w:color w:val="000000"/>
        </w:rPr>
        <w:t>%,  к концу 2024 года</w:t>
      </w:r>
      <w:r w:rsidRPr="00A95D2C">
        <w:rPr>
          <w:rFonts w:ascii="Arial" w:hAnsi="Arial" w:cs="Arial"/>
          <w:color w:val="000000"/>
        </w:rPr>
        <w:t>;</w:t>
      </w:r>
    </w:p>
    <w:p w:rsidR="00FD5725" w:rsidRPr="00A95D2C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Количество реализованных требований Стандарта развития конкуренции в </w:t>
      </w:r>
      <w:r w:rsidR="00C77BA2" w:rsidRPr="00A95D2C">
        <w:rPr>
          <w:rFonts w:ascii="Arial" w:hAnsi="Arial" w:cs="Arial"/>
          <w:color w:val="000000"/>
        </w:rPr>
        <w:t xml:space="preserve">муниципальном образовании </w:t>
      </w:r>
      <w:r w:rsidRPr="00A95D2C">
        <w:rPr>
          <w:rFonts w:ascii="Arial" w:hAnsi="Arial" w:cs="Arial"/>
          <w:color w:val="000000"/>
        </w:rPr>
        <w:t xml:space="preserve">Московской области до </w:t>
      </w:r>
      <w:r w:rsidR="000B7CFD" w:rsidRPr="00A95D2C">
        <w:rPr>
          <w:rFonts w:ascii="Arial" w:hAnsi="Arial" w:cs="Arial"/>
          <w:color w:val="000000"/>
        </w:rPr>
        <w:t>5</w:t>
      </w:r>
      <w:r w:rsidRPr="00A95D2C">
        <w:rPr>
          <w:rFonts w:ascii="Arial" w:hAnsi="Arial" w:cs="Arial"/>
          <w:color w:val="000000"/>
        </w:rPr>
        <w:t>, к концу 2024 года.</w:t>
      </w:r>
    </w:p>
    <w:p w:rsidR="00C57F4C" w:rsidRPr="00A95D2C" w:rsidRDefault="00C57F4C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2A7D27" w:rsidRPr="00A95D2C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           - Число субъектов малого и среднего предпринимательства  в расчете на 10 тысяч человек населения к 2024 году</w:t>
      </w:r>
      <w:r w:rsidR="00D720B8" w:rsidRPr="00A95D2C">
        <w:rPr>
          <w:rFonts w:ascii="Arial" w:hAnsi="Arial" w:cs="Arial"/>
        </w:rPr>
        <w:t xml:space="preserve"> до 60</w:t>
      </w:r>
      <w:r w:rsidRPr="00A95D2C">
        <w:rPr>
          <w:rFonts w:ascii="Arial" w:hAnsi="Arial" w:cs="Arial"/>
        </w:rPr>
        <w:t>0 единиц;</w:t>
      </w:r>
    </w:p>
    <w:p w:rsidR="00420C25" w:rsidRPr="00A95D2C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A95D2C">
        <w:rPr>
          <w:rFonts w:ascii="Arial" w:hAnsi="Arial" w:cs="Arial"/>
          <w:color w:val="000000"/>
        </w:rPr>
        <w:t>49,28</w:t>
      </w:r>
      <w:r w:rsidRPr="00A95D2C">
        <w:rPr>
          <w:rFonts w:ascii="Arial" w:hAnsi="Arial" w:cs="Arial"/>
          <w:color w:val="000000"/>
        </w:rPr>
        <w:t xml:space="preserve"> %;</w:t>
      </w:r>
    </w:p>
    <w:p w:rsidR="00420C25" w:rsidRPr="00A95D2C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001F8D" w:rsidRPr="00A95D2C">
        <w:rPr>
          <w:rFonts w:ascii="Arial" w:hAnsi="Arial" w:cs="Arial"/>
          <w:color w:val="000000"/>
        </w:rPr>
        <w:t>ва или услуг концу 2024 года 410</w:t>
      </w:r>
      <w:r w:rsidRPr="00A95D2C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95D2C">
        <w:rPr>
          <w:rFonts w:ascii="Arial" w:hAnsi="Arial" w:cs="Arial"/>
          <w:color w:val="000000"/>
        </w:rPr>
        <w:t>ед</w:t>
      </w:r>
      <w:proofErr w:type="spellEnd"/>
      <w:proofErr w:type="gramEnd"/>
      <w:r w:rsidRPr="00A95D2C">
        <w:rPr>
          <w:rFonts w:ascii="Arial" w:hAnsi="Arial" w:cs="Arial"/>
          <w:color w:val="000000"/>
        </w:rPr>
        <w:t>;</w:t>
      </w:r>
    </w:p>
    <w:p w:rsidR="00420C25" w:rsidRPr="00A95D2C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A95D2C">
        <w:rPr>
          <w:rFonts w:ascii="Arial" w:hAnsi="Arial" w:cs="Arial"/>
          <w:color w:val="000000"/>
        </w:rPr>
        <w:t>селения к концу 2024 года 126,6</w:t>
      </w:r>
      <w:r w:rsidRPr="00A95D2C">
        <w:rPr>
          <w:rFonts w:ascii="Arial" w:hAnsi="Arial" w:cs="Arial"/>
          <w:color w:val="000000"/>
        </w:rPr>
        <w:t xml:space="preserve"> ед.;</w:t>
      </w:r>
    </w:p>
    <w:p w:rsidR="00420C25" w:rsidRPr="00A95D2C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Количество вновь созданных субъектов МСП участниками проекта  в 2024 году 0,011 тыс. ед.;</w:t>
      </w:r>
    </w:p>
    <w:p w:rsidR="003255D8" w:rsidRPr="00A95D2C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A95D2C">
        <w:rPr>
          <w:rFonts w:ascii="Arial" w:hAnsi="Arial" w:cs="Arial"/>
          <w:color w:val="000000"/>
        </w:rPr>
        <w:t xml:space="preserve">- </w:t>
      </w:r>
      <w:r w:rsidRPr="00A95D2C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A95D2C">
        <w:rPr>
          <w:rFonts w:ascii="Arial" w:hAnsi="Arial" w:cs="Arial"/>
          <w:bCs/>
        </w:rPr>
        <w:t xml:space="preserve"> к 2024 году 67786 </w:t>
      </w:r>
      <w:r w:rsidRPr="00A95D2C">
        <w:rPr>
          <w:rFonts w:ascii="Arial" w:hAnsi="Arial" w:cs="Arial"/>
          <w:bCs/>
        </w:rPr>
        <w:t>человек.</w:t>
      </w:r>
    </w:p>
    <w:p w:rsidR="00EF6374" w:rsidRPr="00A95D2C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A95D2C">
        <w:rPr>
          <w:rFonts w:ascii="Arial" w:hAnsi="Arial" w:cs="Arial"/>
          <w:bCs/>
        </w:rPr>
        <w:t xml:space="preserve">- </w:t>
      </w:r>
      <w:r w:rsidR="005D19BF" w:rsidRPr="00A95D2C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A95D2C">
        <w:rPr>
          <w:rFonts w:ascii="Arial" w:hAnsi="Arial" w:cs="Arial"/>
          <w:bCs/>
        </w:rPr>
        <w:t>самозанятых</w:t>
      </w:r>
      <w:proofErr w:type="spellEnd"/>
      <w:r w:rsidR="005D19BF" w:rsidRPr="00A95D2C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A95D2C">
        <w:rPr>
          <w:rFonts w:ascii="Arial" w:hAnsi="Arial" w:cs="Arial"/>
          <w:bCs/>
        </w:rPr>
        <w:t>самозанятых</w:t>
      </w:r>
      <w:proofErr w:type="spellEnd"/>
      <w:r w:rsidR="005D19BF" w:rsidRPr="00A95D2C">
        <w:rPr>
          <w:rFonts w:ascii="Arial" w:hAnsi="Arial" w:cs="Arial"/>
          <w:bCs/>
        </w:rPr>
        <w:t xml:space="preserve">, нарастающим итогом </w:t>
      </w:r>
      <w:r w:rsidR="006076CD" w:rsidRPr="00A95D2C">
        <w:rPr>
          <w:rFonts w:ascii="Arial" w:hAnsi="Arial" w:cs="Arial"/>
          <w:bCs/>
        </w:rPr>
        <w:t>к 2024 году 571</w:t>
      </w:r>
      <w:r w:rsidR="00DE032B" w:rsidRPr="00A95D2C">
        <w:rPr>
          <w:rFonts w:ascii="Arial" w:hAnsi="Arial" w:cs="Arial"/>
          <w:bCs/>
        </w:rPr>
        <w:t>5</w:t>
      </w:r>
      <w:r w:rsidR="0027366F" w:rsidRPr="00A95D2C">
        <w:rPr>
          <w:rFonts w:ascii="Arial" w:hAnsi="Arial" w:cs="Arial"/>
          <w:bCs/>
        </w:rPr>
        <w:t xml:space="preserve"> </w:t>
      </w:r>
      <w:r w:rsidR="005D19BF" w:rsidRPr="00A95D2C">
        <w:rPr>
          <w:rFonts w:ascii="Arial" w:hAnsi="Arial" w:cs="Arial"/>
          <w:bCs/>
        </w:rPr>
        <w:t>чел</w:t>
      </w:r>
      <w:r w:rsidRPr="00A95D2C">
        <w:rPr>
          <w:rFonts w:ascii="Arial" w:hAnsi="Arial" w:cs="Arial"/>
          <w:bCs/>
        </w:rPr>
        <w:t>.</w:t>
      </w:r>
    </w:p>
    <w:p w:rsidR="002200E4" w:rsidRPr="00A95D2C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A95D2C">
        <w:rPr>
          <w:rFonts w:ascii="Arial" w:hAnsi="Arial" w:cs="Arial"/>
          <w:color w:val="000000"/>
        </w:rPr>
        <w:t>132,0</w:t>
      </w:r>
      <w:r w:rsidR="0095321C" w:rsidRPr="00A95D2C">
        <w:rPr>
          <w:rFonts w:ascii="Arial" w:hAnsi="Arial" w:cs="Arial"/>
          <w:color w:val="000000"/>
        </w:rPr>
        <w:t xml:space="preserve"> </w:t>
      </w:r>
      <w:proofErr w:type="spellStart"/>
      <w:r w:rsidR="00A22B94" w:rsidRPr="00A95D2C">
        <w:rPr>
          <w:rFonts w:ascii="Arial" w:hAnsi="Arial" w:cs="Arial"/>
          <w:color w:val="000000"/>
        </w:rPr>
        <w:t>кв</w:t>
      </w:r>
      <w:proofErr w:type="gramStart"/>
      <w:r w:rsidR="00A22B94" w:rsidRPr="00A95D2C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A95D2C">
        <w:rPr>
          <w:rFonts w:ascii="Arial" w:hAnsi="Arial" w:cs="Arial"/>
          <w:color w:val="000000"/>
        </w:rPr>
        <w:t>/1000 человек</w:t>
      </w:r>
      <w:r w:rsidRPr="00A95D2C">
        <w:rPr>
          <w:rFonts w:ascii="Arial" w:hAnsi="Arial" w:cs="Arial"/>
          <w:color w:val="000000"/>
        </w:rPr>
        <w:t xml:space="preserve"> к концу 2024 года</w:t>
      </w:r>
    </w:p>
    <w:p w:rsidR="004A6619" w:rsidRPr="00A95D2C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Прирост площадей т</w:t>
      </w:r>
      <w:r w:rsidR="00DA78A6" w:rsidRPr="00A95D2C">
        <w:rPr>
          <w:rFonts w:ascii="Arial" w:hAnsi="Arial" w:cs="Arial"/>
          <w:color w:val="000000"/>
        </w:rPr>
        <w:t>орговых объектов к 2024 году 0,9</w:t>
      </w:r>
      <w:r w:rsidRPr="00A95D2C">
        <w:rPr>
          <w:rFonts w:ascii="Arial" w:hAnsi="Arial" w:cs="Arial"/>
          <w:color w:val="000000"/>
        </w:rPr>
        <w:t xml:space="preserve"> </w:t>
      </w:r>
      <w:proofErr w:type="spellStart"/>
      <w:r w:rsidRPr="00A95D2C">
        <w:rPr>
          <w:rFonts w:ascii="Arial" w:hAnsi="Arial" w:cs="Arial"/>
          <w:color w:val="000000"/>
        </w:rPr>
        <w:t>тыс.кв</w:t>
      </w:r>
      <w:proofErr w:type="spellEnd"/>
      <w:r w:rsidRPr="00A95D2C">
        <w:rPr>
          <w:rFonts w:ascii="Arial" w:hAnsi="Arial" w:cs="Arial"/>
          <w:color w:val="000000"/>
        </w:rPr>
        <w:t>. м.</w:t>
      </w:r>
    </w:p>
    <w:p w:rsidR="00861529" w:rsidRPr="00A95D2C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95D2C">
        <w:rPr>
          <w:rFonts w:ascii="Arial" w:hAnsi="Arial" w:cs="Arial"/>
        </w:rPr>
        <w:t xml:space="preserve">           - </w:t>
      </w:r>
      <w:r w:rsidR="0004274B" w:rsidRPr="00A95D2C">
        <w:rPr>
          <w:rFonts w:ascii="Arial" w:hAnsi="Arial" w:cs="Arial"/>
        </w:rPr>
        <w:t>Цивилизованная торговля (</w:t>
      </w:r>
      <w:r w:rsidRPr="00A95D2C">
        <w:rPr>
          <w:rFonts w:ascii="Arial" w:hAnsi="Arial" w:cs="Arial"/>
        </w:rPr>
        <w:t>Ликвидация незаконных нестационарных торговых об</w:t>
      </w:r>
      <w:r w:rsidR="00111ED4" w:rsidRPr="00A95D2C">
        <w:rPr>
          <w:rFonts w:ascii="Arial" w:hAnsi="Arial" w:cs="Arial"/>
        </w:rPr>
        <w:t>ъектов</w:t>
      </w:r>
      <w:r w:rsidR="0004274B" w:rsidRPr="00A95D2C">
        <w:rPr>
          <w:rFonts w:ascii="Arial" w:hAnsi="Arial" w:cs="Arial"/>
        </w:rPr>
        <w:t>)</w:t>
      </w:r>
      <w:r w:rsidR="00111ED4" w:rsidRPr="00A95D2C">
        <w:rPr>
          <w:rFonts w:ascii="Arial" w:hAnsi="Arial" w:cs="Arial"/>
        </w:rPr>
        <w:t xml:space="preserve"> за 2020 год составила 1200 баллов.</w:t>
      </w:r>
    </w:p>
    <w:p w:rsidR="00E00C62" w:rsidRPr="00A95D2C" w:rsidRDefault="00E00C62" w:rsidP="00E00C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         - </w:t>
      </w:r>
      <w:r w:rsidR="00DC1215" w:rsidRPr="00A95D2C">
        <w:rPr>
          <w:rFonts w:ascii="Arial" w:hAnsi="Arial" w:cs="Arial"/>
        </w:rPr>
        <w:t>Стандарт</w:t>
      </w:r>
      <w:r w:rsidRPr="00A95D2C">
        <w:rPr>
          <w:rFonts w:ascii="Arial" w:hAnsi="Arial" w:cs="Arial"/>
        </w:rPr>
        <w:t xml:space="preserve"> потребительского рынка и услуг к концу 2024 года составит 3600 баллов;</w:t>
      </w:r>
    </w:p>
    <w:p w:rsidR="00E00C62" w:rsidRPr="00A95D2C" w:rsidRDefault="00E00C62" w:rsidP="00E00C62">
      <w:pPr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b/>
          <w:color w:val="000000"/>
        </w:rPr>
        <w:t xml:space="preserve">          - </w:t>
      </w:r>
      <w:r w:rsidRPr="00A95D2C">
        <w:rPr>
          <w:rFonts w:ascii="Arial" w:hAnsi="Arial" w:cs="Arial"/>
          <w:color w:val="000000"/>
        </w:rPr>
        <w:t xml:space="preserve">Доля ОДС, </w:t>
      </w:r>
      <w:proofErr w:type="gramStart"/>
      <w:r w:rsidRPr="00A95D2C">
        <w:rPr>
          <w:rFonts w:ascii="Arial" w:hAnsi="Arial" w:cs="Arial"/>
          <w:color w:val="000000"/>
        </w:rPr>
        <w:t>соответствующих</w:t>
      </w:r>
      <w:proofErr w:type="gramEnd"/>
      <w:r w:rsidRPr="00A95D2C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4A6619" w:rsidRPr="00A95D2C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  Прирост посадочных мест на объ</w:t>
      </w:r>
      <w:r w:rsidR="00C01991" w:rsidRPr="00A95D2C">
        <w:rPr>
          <w:rFonts w:ascii="Arial" w:hAnsi="Arial" w:cs="Arial"/>
          <w:color w:val="000000"/>
        </w:rPr>
        <w:t>ектах общественного питания – 34</w:t>
      </w:r>
      <w:r w:rsidRPr="00A95D2C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4A6619" w:rsidRPr="00A95D2C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  Прирост рабочих мест</w:t>
      </w:r>
      <w:r w:rsidR="001030E0" w:rsidRPr="00A95D2C">
        <w:rPr>
          <w:rFonts w:ascii="Arial" w:hAnsi="Arial" w:cs="Arial"/>
          <w:color w:val="000000"/>
        </w:rPr>
        <w:t xml:space="preserve"> на объектах бытового обслуживания</w:t>
      </w:r>
      <w:r w:rsidR="00C01991" w:rsidRPr="00A95D2C">
        <w:rPr>
          <w:rFonts w:ascii="Arial" w:hAnsi="Arial" w:cs="Arial"/>
          <w:color w:val="000000"/>
        </w:rPr>
        <w:t xml:space="preserve"> – 140</w:t>
      </w:r>
      <w:r w:rsidRPr="00A95D2C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4A6619" w:rsidRPr="00A95D2C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767D9" w:rsidRPr="00A95D2C" w:rsidRDefault="008767D9" w:rsidP="00980085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A95D2C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4.</w:t>
      </w:r>
      <w:r w:rsidR="007565FF" w:rsidRPr="00A95D2C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A95D2C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Подпрограмма 1 -  «Инвес</w:t>
      </w:r>
      <w:r w:rsidR="00AC3AD0" w:rsidRPr="00A95D2C">
        <w:rPr>
          <w:rFonts w:ascii="Arial" w:hAnsi="Arial" w:cs="Arial"/>
          <w:color w:val="000000"/>
        </w:rPr>
        <w:t>тиции</w:t>
      </w:r>
      <w:r w:rsidRPr="00A95D2C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A95D2C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A95D2C">
        <w:rPr>
          <w:rFonts w:ascii="Arial" w:hAnsi="Arial" w:cs="Arial"/>
          <w:color w:val="000000"/>
        </w:rPr>
        <w:t xml:space="preserve">, </w:t>
      </w:r>
      <w:r w:rsidR="006C4490" w:rsidRPr="00A95D2C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A95D2C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A95D2C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A95D2C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lastRenderedPageBreak/>
        <w:t xml:space="preserve">Подпрограмма 2 – </w:t>
      </w:r>
      <w:r w:rsidR="00F0526B" w:rsidRPr="00A95D2C">
        <w:rPr>
          <w:rFonts w:ascii="Arial" w:hAnsi="Arial" w:cs="Arial"/>
          <w:color w:val="000000"/>
        </w:rPr>
        <w:t>«Развитие конкуренции»</w:t>
      </w:r>
      <w:r w:rsidR="009565E7" w:rsidRPr="00A95D2C">
        <w:rPr>
          <w:rFonts w:ascii="Arial" w:hAnsi="Arial" w:cs="Arial"/>
          <w:color w:val="000000"/>
        </w:rPr>
        <w:t xml:space="preserve"> -</w:t>
      </w:r>
      <w:r w:rsidR="006C4490" w:rsidRPr="00A95D2C">
        <w:rPr>
          <w:rFonts w:ascii="Arial" w:hAnsi="Arial" w:cs="Arial"/>
          <w:color w:val="000000"/>
        </w:rPr>
        <w:t xml:space="preserve"> </w:t>
      </w:r>
      <w:r w:rsidR="00FD33A6" w:rsidRPr="00A95D2C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A95D2C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A95D2C">
        <w:rPr>
          <w:rFonts w:ascii="Arial" w:hAnsi="Arial" w:cs="Arial"/>
          <w:color w:val="000000"/>
        </w:rPr>
        <w:t xml:space="preserve"> </w:t>
      </w:r>
      <w:r w:rsidR="00205873" w:rsidRPr="00A95D2C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A95D2C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A95D2C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Подпрограмма 4 -  «</w:t>
      </w:r>
      <w:r w:rsidR="00AC3AD0" w:rsidRPr="00A95D2C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A95D2C">
        <w:rPr>
          <w:rFonts w:ascii="Arial" w:hAnsi="Arial" w:cs="Arial"/>
          <w:color w:val="000000"/>
        </w:rPr>
        <w:t xml:space="preserve"> </w:t>
      </w:r>
      <w:r w:rsidR="000660D9" w:rsidRPr="00A95D2C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A95D2C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A95D2C">
        <w:rPr>
          <w:rFonts w:ascii="Arial" w:hAnsi="Arial" w:cs="Arial"/>
          <w:color w:val="000000"/>
        </w:rPr>
        <w:t xml:space="preserve"> </w:t>
      </w:r>
      <w:r w:rsidR="003B6A99" w:rsidRPr="00A95D2C">
        <w:rPr>
          <w:rFonts w:ascii="Arial" w:hAnsi="Arial" w:cs="Arial"/>
          <w:color w:val="000000"/>
        </w:rPr>
        <w:t>Ликвидация незаконных н</w:t>
      </w:r>
      <w:r w:rsidR="00D03BEB" w:rsidRPr="00A95D2C">
        <w:rPr>
          <w:rFonts w:ascii="Arial" w:hAnsi="Arial" w:cs="Arial"/>
          <w:color w:val="000000"/>
        </w:rPr>
        <w:t>естационарных торговых объектов</w:t>
      </w:r>
      <w:r w:rsidR="003B6A99" w:rsidRPr="00A95D2C">
        <w:rPr>
          <w:rFonts w:ascii="Arial" w:hAnsi="Arial" w:cs="Arial"/>
          <w:color w:val="000000"/>
        </w:rPr>
        <w:t>.</w:t>
      </w:r>
    </w:p>
    <w:p w:rsidR="002200E4" w:rsidRPr="00A95D2C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5.</w:t>
      </w:r>
      <w:r w:rsidR="00807849" w:rsidRPr="00A95D2C">
        <w:rPr>
          <w:rFonts w:ascii="Arial" w:hAnsi="Arial" w:cs="Arial"/>
          <w:b/>
        </w:rPr>
        <w:t>Обобщенная характеристика основных мероприятий</w:t>
      </w:r>
    </w:p>
    <w:p w:rsidR="00807849" w:rsidRPr="00A95D2C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A95D2C">
        <w:rPr>
          <w:rFonts w:ascii="Arial" w:hAnsi="Arial" w:cs="Arial"/>
          <w:b/>
          <w:color w:val="000000"/>
        </w:rPr>
        <w:t>Основные мероприятия</w:t>
      </w:r>
      <w:r w:rsidRPr="00A95D2C">
        <w:rPr>
          <w:rFonts w:ascii="Arial" w:hAnsi="Arial" w:cs="Arial"/>
          <w:color w:val="000000"/>
        </w:rPr>
        <w:t>:</w:t>
      </w:r>
    </w:p>
    <w:p w:rsidR="00A3231B" w:rsidRPr="00A95D2C" w:rsidRDefault="001123BB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Подпрограммой 1 «Инвестиции» предусматривается  реализация следующих основных  мероприятий:  «</w:t>
      </w:r>
      <w:r w:rsidR="0048381C" w:rsidRPr="00A95D2C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Pr="00A95D2C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A95D2C">
        <w:rPr>
          <w:rFonts w:ascii="Arial" w:hAnsi="Arial" w:cs="Arial"/>
          <w:color w:val="000000"/>
        </w:rPr>
        <w:t>.</w:t>
      </w:r>
    </w:p>
    <w:p w:rsidR="0021681C" w:rsidRPr="00A95D2C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A95D2C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A95D2C">
        <w:rPr>
          <w:rFonts w:ascii="Arial" w:hAnsi="Arial" w:cs="Arial"/>
        </w:rPr>
        <w:t>»</w:t>
      </w:r>
      <w:r w:rsidR="00CA2D0D" w:rsidRPr="00A95D2C">
        <w:rPr>
          <w:rFonts w:ascii="Arial" w:hAnsi="Arial" w:cs="Arial"/>
        </w:rPr>
        <w:t xml:space="preserve"> к 2024</w:t>
      </w:r>
      <w:r w:rsidR="001D6EF2" w:rsidRPr="00A95D2C">
        <w:rPr>
          <w:rFonts w:ascii="Arial" w:hAnsi="Arial" w:cs="Arial"/>
        </w:rPr>
        <w:t xml:space="preserve"> </w:t>
      </w:r>
      <w:r w:rsidR="00753D19" w:rsidRPr="00A95D2C">
        <w:rPr>
          <w:rFonts w:ascii="Arial" w:hAnsi="Arial" w:cs="Arial"/>
        </w:rPr>
        <w:t xml:space="preserve">году до 68,62 </w:t>
      </w:r>
      <w:proofErr w:type="spellStart"/>
      <w:r w:rsidR="001D6EF2" w:rsidRPr="00A95D2C">
        <w:rPr>
          <w:rFonts w:ascii="Arial" w:hAnsi="Arial" w:cs="Arial"/>
        </w:rPr>
        <w:t>тыс</w:t>
      </w:r>
      <w:proofErr w:type="gramStart"/>
      <w:r w:rsidR="001D6EF2" w:rsidRPr="00A95D2C">
        <w:rPr>
          <w:rFonts w:ascii="Arial" w:hAnsi="Arial" w:cs="Arial"/>
        </w:rPr>
        <w:t>.р</w:t>
      </w:r>
      <w:proofErr w:type="gramEnd"/>
      <w:r w:rsidR="001D6EF2" w:rsidRPr="00A95D2C">
        <w:rPr>
          <w:rFonts w:ascii="Arial" w:hAnsi="Arial" w:cs="Arial"/>
        </w:rPr>
        <w:t>уб</w:t>
      </w:r>
      <w:proofErr w:type="spellEnd"/>
      <w:r w:rsidR="001D6EF2" w:rsidRPr="00A95D2C">
        <w:rPr>
          <w:rFonts w:ascii="Arial" w:hAnsi="Arial" w:cs="Arial"/>
        </w:rPr>
        <w:t>.</w:t>
      </w:r>
    </w:p>
    <w:p w:rsidR="0021681C" w:rsidRPr="00A95D2C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A95D2C">
        <w:rPr>
          <w:rFonts w:ascii="Arial" w:hAnsi="Arial" w:cs="Arial"/>
        </w:rPr>
        <w:t xml:space="preserve">Мероприятие </w:t>
      </w:r>
      <w:r w:rsidR="001D6EF2" w:rsidRPr="00A95D2C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A95D2C">
        <w:rPr>
          <w:rFonts w:ascii="Arial" w:hAnsi="Arial" w:cs="Arial"/>
        </w:rPr>
        <w:t xml:space="preserve"> </w:t>
      </w:r>
      <w:r w:rsidR="001D6EF2" w:rsidRPr="00A95D2C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A95D2C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A95D2C">
        <w:rPr>
          <w:rFonts w:ascii="Arial" w:hAnsi="Arial" w:cs="Arial"/>
        </w:rPr>
        <w:t>Задолженность по выплате заработной платы «</w:t>
      </w:r>
      <w:r w:rsidR="00950A08" w:rsidRPr="00A95D2C">
        <w:rPr>
          <w:rFonts w:ascii="Arial" w:hAnsi="Arial" w:cs="Arial"/>
        </w:rPr>
        <w:t>Зарплата без долгов»  к 2024 – 0</w:t>
      </w:r>
      <w:r w:rsidR="001D6EF2" w:rsidRPr="00A95D2C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A95D2C">
        <w:rPr>
          <w:rFonts w:ascii="Arial" w:hAnsi="Arial" w:cs="Arial"/>
        </w:rPr>
        <w:t xml:space="preserve"> предпр</w:t>
      </w:r>
      <w:r w:rsidR="00722D27" w:rsidRPr="00A95D2C">
        <w:rPr>
          <w:rFonts w:ascii="Arial" w:hAnsi="Arial" w:cs="Arial"/>
        </w:rPr>
        <w:t xml:space="preserve">инимательства к 2024 г. до 3,9 </w:t>
      </w:r>
      <w:r w:rsidR="001D6EF2" w:rsidRPr="00A95D2C">
        <w:rPr>
          <w:rFonts w:ascii="Arial" w:hAnsi="Arial" w:cs="Arial"/>
        </w:rPr>
        <w:t>%, Увеличение производительности труд</w:t>
      </w:r>
      <w:r w:rsidR="000E191E" w:rsidRPr="00A95D2C">
        <w:rPr>
          <w:rFonts w:ascii="Arial" w:hAnsi="Arial" w:cs="Arial"/>
        </w:rPr>
        <w:t>а</w:t>
      </w:r>
      <w:r w:rsidR="00146D9C" w:rsidRPr="00A95D2C">
        <w:rPr>
          <w:rFonts w:ascii="Arial" w:hAnsi="Arial" w:cs="Arial"/>
        </w:rPr>
        <w:t xml:space="preserve"> в базовых </w:t>
      </w:r>
      <w:proofErr w:type="spellStart"/>
      <w:r w:rsidR="00146D9C" w:rsidRPr="00A95D2C">
        <w:rPr>
          <w:rFonts w:ascii="Arial" w:hAnsi="Arial" w:cs="Arial"/>
        </w:rPr>
        <w:t>несырьевых</w:t>
      </w:r>
      <w:proofErr w:type="spellEnd"/>
      <w:r w:rsidR="00146D9C" w:rsidRPr="00A95D2C">
        <w:rPr>
          <w:rFonts w:ascii="Arial" w:hAnsi="Arial" w:cs="Arial"/>
        </w:rPr>
        <w:t xml:space="preserve"> отраслях,</w:t>
      </w:r>
      <w:r w:rsidR="005A36B0" w:rsidRPr="00A95D2C">
        <w:rPr>
          <w:rFonts w:ascii="Arial" w:hAnsi="Arial" w:cs="Arial"/>
        </w:rPr>
        <w:t xml:space="preserve"> </w:t>
      </w:r>
      <w:r w:rsidR="00950A08" w:rsidRPr="00A95D2C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A95D2C">
        <w:rPr>
          <w:rFonts w:ascii="Arial" w:hAnsi="Arial" w:cs="Arial"/>
        </w:rPr>
        <w:t>.</w:t>
      </w:r>
    </w:p>
    <w:p w:rsidR="0021681C" w:rsidRPr="00A95D2C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A95D2C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A95D2C">
        <w:rPr>
          <w:rFonts w:ascii="Arial" w:hAnsi="Arial" w:cs="Arial"/>
        </w:rPr>
        <w:t xml:space="preserve">», </w:t>
      </w:r>
      <w:r w:rsidRPr="00A95D2C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A95D2C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1D6EF2" w:rsidRPr="00A95D2C" w:rsidRDefault="001D6EF2" w:rsidP="00A95D2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</w:rPr>
        <w:t xml:space="preserve">- Развитие конкурентной среды в рамках Федерального закона № 44-ФЗ – </w:t>
      </w:r>
      <w:r w:rsidRPr="00A95D2C">
        <w:rPr>
          <w:rFonts w:ascii="Arial" w:hAnsi="Arial" w:cs="Arial"/>
        </w:rPr>
        <w:lastRenderedPageBreak/>
        <w:t xml:space="preserve">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 w:rsidRPr="00A95D2C">
        <w:rPr>
          <w:rFonts w:ascii="Arial" w:hAnsi="Arial" w:cs="Arial"/>
        </w:rPr>
        <w:t>3,6</w:t>
      </w:r>
      <w:r w:rsidRPr="00A95D2C">
        <w:rPr>
          <w:rFonts w:ascii="Arial" w:hAnsi="Arial" w:cs="Arial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 w:rsidRPr="00A95D2C">
        <w:rPr>
          <w:rFonts w:ascii="Arial" w:hAnsi="Arial" w:cs="Arial"/>
        </w:rPr>
        <w:t>40</w:t>
      </w:r>
      <w:r w:rsidRPr="00A95D2C">
        <w:rPr>
          <w:rFonts w:ascii="Arial" w:hAnsi="Arial" w:cs="Arial"/>
        </w:rPr>
        <w:t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</w:t>
      </w:r>
      <w:r w:rsidR="00E64DE5" w:rsidRPr="00A95D2C">
        <w:rPr>
          <w:rFonts w:ascii="Arial" w:hAnsi="Arial" w:cs="Arial"/>
        </w:rPr>
        <w:t>5</w:t>
      </w:r>
      <w:r w:rsidRPr="00A95D2C">
        <w:rPr>
          <w:rFonts w:ascii="Arial" w:hAnsi="Arial" w:cs="Arial"/>
        </w:rPr>
        <w:t xml:space="preserve">%, к концу 2024 года. Увеличение количества участников на торгах до </w:t>
      </w:r>
      <w:r w:rsidR="00E64DE5" w:rsidRPr="00A95D2C">
        <w:rPr>
          <w:rFonts w:ascii="Arial" w:hAnsi="Arial" w:cs="Arial"/>
        </w:rPr>
        <w:t>4,5</w:t>
      </w:r>
      <w:r w:rsidRPr="00A95D2C">
        <w:rPr>
          <w:rFonts w:ascii="Arial" w:hAnsi="Arial" w:cs="Arial"/>
        </w:rPr>
        <w:t xml:space="preserve"> (количество участников в одной процедуре), к концу 2024 года.</w:t>
      </w:r>
    </w:p>
    <w:p w:rsidR="001D6EF2" w:rsidRPr="00A95D2C" w:rsidRDefault="00D054EA" w:rsidP="00A95D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       </w:t>
      </w:r>
      <w:r w:rsidR="001D6EF2" w:rsidRPr="00A95D2C">
        <w:rPr>
          <w:rFonts w:ascii="Arial" w:hAnsi="Arial" w:cs="Arial"/>
        </w:rPr>
        <w:t xml:space="preserve">- Реализация комплекса мер по содействию развитию конкуренции - Доведение </w:t>
      </w:r>
      <w:proofErr w:type="gramStart"/>
      <w:r w:rsidR="001D6EF2" w:rsidRPr="00A95D2C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1D6EF2" w:rsidRPr="00A95D2C">
        <w:rPr>
          <w:rFonts w:ascii="Arial" w:hAnsi="Arial" w:cs="Arial"/>
        </w:rPr>
        <w:t xml:space="preserve"> в </w:t>
      </w:r>
      <w:r w:rsidR="005B0BB2" w:rsidRPr="00A95D2C">
        <w:rPr>
          <w:rFonts w:ascii="Arial" w:hAnsi="Arial" w:cs="Arial"/>
        </w:rPr>
        <w:t xml:space="preserve">муниципальном образовании </w:t>
      </w:r>
      <w:r w:rsidR="001D6EF2" w:rsidRPr="00A95D2C">
        <w:rPr>
          <w:rFonts w:ascii="Arial" w:hAnsi="Arial" w:cs="Arial"/>
        </w:rPr>
        <w:t xml:space="preserve">Московской области до </w:t>
      </w:r>
      <w:r w:rsidR="0039276F" w:rsidRPr="00A95D2C">
        <w:rPr>
          <w:rFonts w:ascii="Arial" w:hAnsi="Arial" w:cs="Arial"/>
        </w:rPr>
        <w:t>5</w:t>
      </w:r>
      <w:r w:rsidR="001D6EF2" w:rsidRPr="00A95D2C">
        <w:rPr>
          <w:rFonts w:ascii="Arial" w:hAnsi="Arial" w:cs="Arial"/>
        </w:rPr>
        <w:t>, к концу 2024 года.</w:t>
      </w:r>
    </w:p>
    <w:p w:rsidR="00436F3C" w:rsidRPr="00A95D2C" w:rsidRDefault="00581253" w:rsidP="00A95D2C">
      <w:pPr>
        <w:pStyle w:val="a8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A95D2C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A95D2C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A95D2C" w:rsidRDefault="00436F3C" w:rsidP="00A95D2C">
      <w:pPr>
        <w:pStyle w:val="a8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A95D2C" w:rsidRDefault="002A7D27" w:rsidP="00A95D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       </w:t>
      </w:r>
      <w:proofErr w:type="gramStart"/>
      <w:r w:rsidR="00436F3C" w:rsidRPr="00A95D2C">
        <w:rPr>
          <w:rFonts w:ascii="Arial" w:hAnsi="Arial" w:cs="Arial"/>
        </w:rPr>
        <w:t xml:space="preserve">- </w:t>
      </w:r>
      <w:r w:rsidRPr="00A95D2C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A95D2C">
        <w:rPr>
          <w:rFonts w:ascii="Arial" w:hAnsi="Arial" w:cs="Arial"/>
        </w:rPr>
        <w:t>к 2024 году до 60</w:t>
      </w:r>
      <w:r w:rsidRPr="00A95D2C">
        <w:rPr>
          <w:rFonts w:ascii="Arial" w:hAnsi="Arial" w:cs="Arial"/>
        </w:rPr>
        <w:t>0 единиц;</w:t>
      </w:r>
      <w:proofErr w:type="gramEnd"/>
    </w:p>
    <w:p w:rsidR="00807849" w:rsidRPr="00A95D2C" w:rsidRDefault="006E019B" w:rsidP="00A95D2C">
      <w:pPr>
        <w:pStyle w:val="a8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A95D2C">
        <w:rPr>
          <w:rFonts w:ascii="Arial" w:hAnsi="Arial" w:cs="Arial"/>
        </w:rPr>
        <w:t xml:space="preserve">организаций к 2024 году до 49,28 </w:t>
      </w:r>
      <w:r w:rsidRPr="00A95D2C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A95D2C">
        <w:rPr>
          <w:rFonts w:ascii="Arial" w:hAnsi="Arial" w:cs="Arial"/>
        </w:rPr>
        <w:t>еления к концу 2024 года 126,6</w:t>
      </w:r>
      <w:r w:rsidR="00436F3C" w:rsidRPr="00A95D2C">
        <w:rPr>
          <w:rFonts w:ascii="Arial" w:hAnsi="Arial" w:cs="Arial"/>
        </w:rPr>
        <w:t xml:space="preserve"> </w:t>
      </w:r>
      <w:r w:rsidRPr="00A95D2C">
        <w:rPr>
          <w:rFonts w:ascii="Arial" w:hAnsi="Arial" w:cs="Arial"/>
        </w:rPr>
        <w:t xml:space="preserve">ед. </w:t>
      </w:r>
    </w:p>
    <w:p w:rsidR="00464FC0" w:rsidRPr="00A95D2C" w:rsidRDefault="00E96292" w:rsidP="00A95D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A95D2C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001F8D" w:rsidRPr="00A95D2C">
        <w:rPr>
          <w:rFonts w:ascii="Arial" w:hAnsi="Arial" w:cs="Arial"/>
        </w:rPr>
        <w:t>онцу 2024 года составит 410</w:t>
      </w:r>
      <w:r w:rsidRPr="00A95D2C">
        <w:rPr>
          <w:rFonts w:ascii="Arial" w:hAnsi="Arial" w:cs="Arial"/>
        </w:rPr>
        <w:t xml:space="preserve"> ед., количество вновь созданных субъектов МСП участниками проекта  в 2024 году 0,011 тыс. ед.</w:t>
      </w:r>
      <w:r w:rsidR="003255D8" w:rsidRPr="00A95D2C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722D27" w:rsidRPr="00A95D2C">
        <w:rPr>
          <w:rFonts w:ascii="Arial" w:hAnsi="Arial" w:cs="Arial"/>
          <w:bCs/>
        </w:rPr>
        <w:t xml:space="preserve"> к 2024 году 67786</w:t>
      </w:r>
      <w:r w:rsidR="003255D8" w:rsidRPr="00A95D2C">
        <w:rPr>
          <w:rFonts w:ascii="Arial" w:hAnsi="Arial" w:cs="Arial"/>
          <w:bCs/>
        </w:rPr>
        <w:t xml:space="preserve"> человек</w:t>
      </w:r>
      <w:r w:rsidR="00F849DE" w:rsidRPr="00A95D2C">
        <w:rPr>
          <w:rFonts w:ascii="Arial" w:hAnsi="Arial" w:cs="Arial"/>
          <w:bCs/>
        </w:rPr>
        <w:t xml:space="preserve">, </w:t>
      </w:r>
      <w:proofErr w:type="gramEnd"/>
    </w:p>
    <w:p w:rsidR="0021681C" w:rsidRPr="00A95D2C" w:rsidRDefault="00F849DE" w:rsidP="00A95D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95D2C">
        <w:rPr>
          <w:rFonts w:ascii="Arial" w:hAnsi="Arial" w:cs="Arial"/>
          <w:bCs/>
        </w:rPr>
        <w:t xml:space="preserve"> Количество </w:t>
      </w:r>
      <w:proofErr w:type="spellStart"/>
      <w:r w:rsidRPr="00A95D2C">
        <w:rPr>
          <w:rFonts w:ascii="Arial" w:hAnsi="Arial" w:cs="Arial"/>
          <w:bCs/>
        </w:rPr>
        <w:t>самозанятых</w:t>
      </w:r>
      <w:proofErr w:type="spellEnd"/>
      <w:r w:rsidRPr="00A95D2C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A95D2C">
        <w:rPr>
          <w:rFonts w:ascii="Arial" w:hAnsi="Arial" w:cs="Arial"/>
          <w:bCs/>
        </w:rPr>
        <w:t>самозанятых</w:t>
      </w:r>
      <w:proofErr w:type="spellEnd"/>
      <w:r w:rsidRPr="00A95D2C">
        <w:rPr>
          <w:rFonts w:ascii="Arial" w:hAnsi="Arial" w:cs="Arial"/>
          <w:bCs/>
        </w:rPr>
        <w:t>, на</w:t>
      </w:r>
      <w:r w:rsidR="006076CD" w:rsidRPr="00A95D2C">
        <w:rPr>
          <w:rFonts w:ascii="Arial" w:hAnsi="Arial" w:cs="Arial"/>
          <w:bCs/>
        </w:rPr>
        <w:t>растающим итогом  к 2024 году 571</w:t>
      </w:r>
      <w:r w:rsidR="00DE032B" w:rsidRPr="00A95D2C">
        <w:rPr>
          <w:rFonts w:ascii="Arial" w:hAnsi="Arial" w:cs="Arial"/>
          <w:bCs/>
        </w:rPr>
        <w:t>5</w:t>
      </w:r>
      <w:r w:rsidR="0027366F" w:rsidRPr="00A95D2C">
        <w:rPr>
          <w:rFonts w:ascii="Arial" w:hAnsi="Arial" w:cs="Arial"/>
          <w:bCs/>
        </w:rPr>
        <w:t xml:space="preserve"> </w:t>
      </w:r>
      <w:r w:rsidRPr="00A95D2C">
        <w:rPr>
          <w:rFonts w:ascii="Arial" w:hAnsi="Arial" w:cs="Arial"/>
          <w:bCs/>
        </w:rPr>
        <w:t>чел</w:t>
      </w:r>
      <w:r w:rsidR="0021681C" w:rsidRPr="00A95D2C">
        <w:rPr>
          <w:rFonts w:ascii="Arial" w:hAnsi="Arial" w:cs="Arial"/>
          <w:bCs/>
        </w:rPr>
        <w:t>.</w:t>
      </w:r>
    </w:p>
    <w:p w:rsidR="003255D8" w:rsidRPr="00A95D2C" w:rsidRDefault="003255D8" w:rsidP="00A95D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A95D2C" w:rsidRDefault="00436F3C" w:rsidP="00A95D2C">
      <w:pPr>
        <w:pStyle w:val="a8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>Подпрограммой 4</w:t>
      </w:r>
      <w:r w:rsidR="00965904" w:rsidRPr="00A95D2C">
        <w:rPr>
          <w:rFonts w:ascii="Arial" w:hAnsi="Arial" w:cs="Arial"/>
        </w:rPr>
        <w:t xml:space="preserve"> «Развитие потребительского рынка</w:t>
      </w:r>
      <w:r w:rsidR="008767D9" w:rsidRPr="00A95D2C">
        <w:rPr>
          <w:rFonts w:ascii="Arial" w:hAnsi="Arial" w:cs="Arial"/>
        </w:rPr>
        <w:t xml:space="preserve"> и услуг</w:t>
      </w:r>
      <w:r w:rsidR="00224925" w:rsidRPr="00A95D2C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A95D2C">
        <w:rPr>
          <w:rFonts w:ascii="Arial" w:hAnsi="Arial" w:cs="Arial"/>
        </w:rPr>
        <w:t xml:space="preserve">» </w:t>
      </w:r>
      <w:r w:rsidR="00803DEE" w:rsidRPr="00A95D2C">
        <w:rPr>
          <w:rFonts w:ascii="Arial" w:hAnsi="Arial" w:cs="Arial"/>
        </w:rPr>
        <w:t>предусматривается ре</w:t>
      </w:r>
      <w:r w:rsidR="008767D9" w:rsidRPr="00A95D2C">
        <w:rPr>
          <w:rFonts w:ascii="Arial" w:hAnsi="Arial" w:cs="Arial"/>
        </w:rPr>
        <w:t xml:space="preserve">ализация основного мероприятия </w:t>
      </w:r>
      <w:r w:rsidR="00806337" w:rsidRPr="00A95D2C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A95D2C">
        <w:rPr>
          <w:rFonts w:ascii="Arial" w:hAnsi="Arial" w:cs="Arial"/>
        </w:rPr>
        <w:t>законодательством</w:t>
      </w:r>
      <w:r w:rsidR="00806337" w:rsidRPr="00A95D2C">
        <w:rPr>
          <w:rFonts w:ascii="Arial" w:hAnsi="Arial" w:cs="Arial"/>
        </w:rPr>
        <w:t>.</w:t>
      </w:r>
    </w:p>
    <w:p w:rsidR="00806337" w:rsidRPr="00A95D2C" w:rsidRDefault="00806337" w:rsidP="00A95D2C">
      <w:pPr>
        <w:pStyle w:val="a8"/>
        <w:ind w:left="0" w:firstLine="567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806337" w:rsidRPr="00A95D2C" w:rsidRDefault="00806337" w:rsidP="00A95D2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Обеспеченность населения площадью тор</w:t>
      </w:r>
      <w:r w:rsidR="009D739B" w:rsidRPr="00A95D2C">
        <w:rPr>
          <w:rFonts w:ascii="Arial" w:hAnsi="Arial" w:cs="Arial"/>
          <w:color w:val="000000"/>
        </w:rPr>
        <w:t xml:space="preserve">говых объектов – </w:t>
      </w:r>
      <w:r w:rsidR="00BA7C69" w:rsidRPr="00A95D2C">
        <w:rPr>
          <w:rFonts w:ascii="Arial" w:hAnsi="Arial" w:cs="Arial"/>
          <w:color w:val="000000"/>
        </w:rPr>
        <w:t>1132,0</w:t>
      </w:r>
      <w:r w:rsidR="009D739B" w:rsidRPr="00A95D2C">
        <w:rPr>
          <w:rFonts w:ascii="Arial" w:hAnsi="Arial" w:cs="Arial"/>
          <w:color w:val="000000"/>
        </w:rPr>
        <w:t xml:space="preserve"> </w:t>
      </w:r>
      <w:proofErr w:type="spellStart"/>
      <w:r w:rsidR="00530C47" w:rsidRPr="00A95D2C">
        <w:rPr>
          <w:rFonts w:ascii="Arial" w:hAnsi="Arial" w:cs="Arial"/>
          <w:color w:val="000000"/>
        </w:rPr>
        <w:t>кв</w:t>
      </w:r>
      <w:proofErr w:type="gramStart"/>
      <w:r w:rsidR="00530C47" w:rsidRPr="00A95D2C">
        <w:rPr>
          <w:rFonts w:ascii="Arial" w:hAnsi="Arial" w:cs="Arial"/>
          <w:color w:val="000000"/>
        </w:rPr>
        <w:t>.м</w:t>
      </w:r>
      <w:proofErr w:type="spellEnd"/>
      <w:proofErr w:type="gramEnd"/>
      <w:r w:rsidR="00530C47" w:rsidRPr="00A95D2C">
        <w:rPr>
          <w:rFonts w:ascii="Arial" w:hAnsi="Arial" w:cs="Arial"/>
          <w:color w:val="000000"/>
        </w:rPr>
        <w:t>/1000 человек</w:t>
      </w:r>
      <w:r w:rsidRPr="00A95D2C">
        <w:rPr>
          <w:rFonts w:ascii="Arial" w:hAnsi="Arial" w:cs="Arial"/>
          <w:color w:val="000000"/>
        </w:rPr>
        <w:t xml:space="preserve"> к концу 2024 года</w:t>
      </w:r>
    </w:p>
    <w:p w:rsidR="00806337" w:rsidRPr="00A95D2C" w:rsidRDefault="00806337" w:rsidP="00A95D2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Прирост площадей торговых объектов</w:t>
      </w:r>
      <w:r w:rsidR="00F85D75" w:rsidRPr="00A95D2C">
        <w:rPr>
          <w:rFonts w:ascii="Arial" w:hAnsi="Arial" w:cs="Arial"/>
          <w:color w:val="000000"/>
        </w:rPr>
        <w:t xml:space="preserve"> к 2024 году 0,9</w:t>
      </w:r>
      <w:r w:rsidR="00530C47" w:rsidRPr="00A95D2C">
        <w:rPr>
          <w:rFonts w:ascii="Arial" w:hAnsi="Arial" w:cs="Arial"/>
          <w:color w:val="000000"/>
        </w:rPr>
        <w:t xml:space="preserve"> </w:t>
      </w:r>
      <w:proofErr w:type="spellStart"/>
      <w:r w:rsidR="00530C47" w:rsidRPr="00A95D2C">
        <w:rPr>
          <w:rFonts w:ascii="Arial" w:hAnsi="Arial" w:cs="Arial"/>
          <w:color w:val="000000"/>
        </w:rPr>
        <w:t>тыс.кв</w:t>
      </w:r>
      <w:proofErr w:type="gramStart"/>
      <w:r w:rsidR="00530C47" w:rsidRPr="00A95D2C">
        <w:rPr>
          <w:rFonts w:ascii="Arial" w:hAnsi="Arial" w:cs="Arial"/>
          <w:color w:val="000000"/>
        </w:rPr>
        <w:t>.м</w:t>
      </w:r>
      <w:proofErr w:type="spellEnd"/>
      <w:proofErr w:type="gramEnd"/>
    </w:p>
    <w:p w:rsidR="00861529" w:rsidRPr="00A95D2C" w:rsidRDefault="00FA5C78" w:rsidP="00FA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</w:rPr>
        <w:t xml:space="preserve">             </w:t>
      </w:r>
      <w:r w:rsidR="00861529" w:rsidRPr="00A95D2C">
        <w:rPr>
          <w:rFonts w:ascii="Arial" w:hAnsi="Arial" w:cs="Arial"/>
        </w:rPr>
        <w:t>- </w:t>
      </w:r>
      <w:r w:rsidR="0004274B" w:rsidRPr="00A95D2C">
        <w:rPr>
          <w:rFonts w:ascii="Arial" w:hAnsi="Arial" w:cs="Arial"/>
        </w:rPr>
        <w:t>Цивилизованная торговля (</w:t>
      </w:r>
      <w:r w:rsidR="00861529" w:rsidRPr="00A95D2C">
        <w:rPr>
          <w:rFonts w:ascii="Arial" w:hAnsi="Arial" w:cs="Arial"/>
        </w:rPr>
        <w:t>Ликвидация незаконных нестационарных торговых объект</w:t>
      </w:r>
      <w:r w:rsidR="00111ED4" w:rsidRPr="00A95D2C">
        <w:rPr>
          <w:rFonts w:ascii="Arial" w:hAnsi="Arial" w:cs="Arial"/>
        </w:rPr>
        <w:t>ов</w:t>
      </w:r>
      <w:r w:rsidR="0004274B" w:rsidRPr="00A95D2C">
        <w:rPr>
          <w:rFonts w:ascii="Arial" w:hAnsi="Arial" w:cs="Arial"/>
        </w:rPr>
        <w:t>)</w:t>
      </w:r>
      <w:r w:rsidR="00111ED4" w:rsidRPr="00A95D2C">
        <w:rPr>
          <w:rFonts w:ascii="Arial" w:hAnsi="Arial" w:cs="Arial"/>
        </w:rPr>
        <w:t xml:space="preserve"> за 2020 год составила 1200 баллов</w:t>
      </w:r>
    </w:p>
    <w:p w:rsidR="00E00C62" w:rsidRPr="00A95D2C" w:rsidRDefault="00FA5C78" w:rsidP="00FA5C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            </w:t>
      </w:r>
      <w:r w:rsidR="00E00C62" w:rsidRPr="00A95D2C">
        <w:rPr>
          <w:rFonts w:ascii="Arial" w:hAnsi="Arial" w:cs="Arial"/>
        </w:rPr>
        <w:t xml:space="preserve"> - </w:t>
      </w:r>
      <w:r w:rsidR="00DC1215" w:rsidRPr="00A95D2C">
        <w:rPr>
          <w:rFonts w:ascii="Arial" w:hAnsi="Arial" w:cs="Arial"/>
        </w:rPr>
        <w:t>Стандарт</w:t>
      </w:r>
      <w:r w:rsidR="00E00C62" w:rsidRPr="00A95D2C">
        <w:rPr>
          <w:rFonts w:ascii="Arial" w:hAnsi="Arial" w:cs="Arial"/>
        </w:rPr>
        <w:t xml:space="preserve"> потребительского рынка и услуг к концу 2024 года составит 3600 баллов;</w:t>
      </w:r>
    </w:p>
    <w:p w:rsidR="00E00C62" w:rsidRPr="00A95D2C" w:rsidRDefault="00FA5C78" w:rsidP="00FA5C78">
      <w:pPr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b/>
          <w:color w:val="000000"/>
        </w:rPr>
        <w:t xml:space="preserve">           </w:t>
      </w:r>
      <w:r w:rsidR="00E00C62" w:rsidRPr="00A95D2C">
        <w:rPr>
          <w:rFonts w:ascii="Arial" w:hAnsi="Arial" w:cs="Arial"/>
          <w:b/>
          <w:color w:val="000000"/>
        </w:rPr>
        <w:t xml:space="preserve">  - </w:t>
      </w:r>
      <w:r w:rsidR="00E00C62" w:rsidRPr="00A95D2C">
        <w:rPr>
          <w:rFonts w:ascii="Arial" w:hAnsi="Arial" w:cs="Arial"/>
          <w:color w:val="000000"/>
        </w:rPr>
        <w:t xml:space="preserve">Доля ОДС, </w:t>
      </w:r>
      <w:proofErr w:type="gramStart"/>
      <w:r w:rsidR="00E00C62" w:rsidRPr="00A95D2C">
        <w:rPr>
          <w:rFonts w:ascii="Arial" w:hAnsi="Arial" w:cs="Arial"/>
          <w:color w:val="000000"/>
        </w:rPr>
        <w:t>соответствующих</w:t>
      </w:r>
      <w:proofErr w:type="gramEnd"/>
      <w:r w:rsidR="00E00C62" w:rsidRPr="00A95D2C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806337" w:rsidRPr="00A95D2C" w:rsidRDefault="00FA5C78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lastRenderedPageBreak/>
        <w:t xml:space="preserve">-  </w:t>
      </w:r>
      <w:r w:rsidR="00806337" w:rsidRPr="00A95D2C">
        <w:rPr>
          <w:rFonts w:ascii="Arial" w:hAnsi="Arial" w:cs="Arial"/>
          <w:color w:val="000000"/>
        </w:rPr>
        <w:t>Прирост посадочных мест на объ</w:t>
      </w:r>
      <w:r w:rsidR="00C01991" w:rsidRPr="00A95D2C">
        <w:rPr>
          <w:rFonts w:ascii="Arial" w:hAnsi="Arial" w:cs="Arial"/>
          <w:color w:val="000000"/>
        </w:rPr>
        <w:t>ектах общественного питания – 34</w:t>
      </w:r>
      <w:r w:rsidR="00806337" w:rsidRPr="00A95D2C">
        <w:rPr>
          <w:rFonts w:ascii="Arial" w:hAnsi="Arial" w:cs="Arial"/>
          <w:color w:val="000000"/>
        </w:rPr>
        <w:t>0 посадочных мест на 1000 жителей к концу 2024 года.</w:t>
      </w:r>
    </w:p>
    <w:p w:rsidR="00806337" w:rsidRPr="00A95D2C" w:rsidRDefault="00806337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-   Прирост рабочих мест на о</w:t>
      </w:r>
      <w:r w:rsidR="00ED6CD8" w:rsidRPr="00A95D2C">
        <w:rPr>
          <w:rFonts w:ascii="Arial" w:hAnsi="Arial" w:cs="Arial"/>
          <w:color w:val="000000"/>
        </w:rPr>
        <w:t>бъектах бытового обслуживания</w:t>
      </w:r>
      <w:r w:rsidR="00C01991" w:rsidRPr="00A95D2C">
        <w:rPr>
          <w:rFonts w:ascii="Arial" w:hAnsi="Arial" w:cs="Arial"/>
          <w:color w:val="000000"/>
        </w:rPr>
        <w:t xml:space="preserve"> – 140</w:t>
      </w:r>
      <w:r w:rsidRPr="00A95D2C">
        <w:rPr>
          <w:rFonts w:ascii="Arial" w:hAnsi="Arial" w:cs="Arial"/>
          <w:color w:val="000000"/>
        </w:rPr>
        <w:t xml:space="preserve"> рабочих мест на 1000 жителей к концу 2024 года.</w:t>
      </w:r>
    </w:p>
    <w:p w:rsidR="00806337" w:rsidRPr="00A95D2C" w:rsidRDefault="00FA5C78" w:rsidP="00FA5C7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- </w:t>
      </w:r>
      <w:r w:rsidR="00806337" w:rsidRPr="00A95D2C">
        <w:rPr>
          <w:rFonts w:ascii="Arial" w:hAnsi="Arial" w:cs="Arial"/>
          <w:color w:val="000000"/>
        </w:rPr>
        <w:t>Доля обращений по вопросу защиты прав потребителей от общего количества поступивших обращений – 8% к концу 2024 года.</w:t>
      </w:r>
    </w:p>
    <w:p w:rsidR="00807849" w:rsidRPr="00A95D2C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6. Порядок взаимодействия ответственных за выполнение мероприятий программы с заказчиками муниципальной программы</w:t>
      </w:r>
    </w:p>
    <w:p w:rsidR="00AE43F8" w:rsidRPr="00A95D2C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A95D2C" w:rsidRDefault="00AE43F8" w:rsidP="00AE43F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ab/>
        <w:t xml:space="preserve">1. Координатор муниципальной программы организовывает работу, направленную </w:t>
      </w:r>
      <w:proofErr w:type="gramStart"/>
      <w:r w:rsidRPr="00A95D2C">
        <w:rPr>
          <w:rFonts w:ascii="Arial" w:hAnsi="Arial" w:cs="Arial"/>
        </w:rPr>
        <w:t>на</w:t>
      </w:r>
      <w:proofErr w:type="gramEnd"/>
      <w:r w:rsidRPr="00A95D2C">
        <w:rPr>
          <w:rFonts w:ascii="Arial" w:hAnsi="Arial" w:cs="Arial"/>
        </w:rPr>
        <w:t>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1)</w:t>
      </w:r>
      <w:r w:rsidR="00AE43F8" w:rsidRPr="00A95D2C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A95D2C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A95D2C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2)</w:t>
      </w:r>
      <w:r w:rsidR="00AE43F8" w:rsidRPr="00A95D2C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3)</w:t>
      </w:r>
      <w:r w:rsidR="00AE43F8" w:rsidRPr="00A95D2C">
        <w:rPr>
          <w:rFonts w:ascii="Arial" w:hAnsi="Arial" w:cs="Arial"/>
        </w:rPr>
        <w:t>реализацию муниципальной программы;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4)</w:t>
      </w:r>
      <w:r w:rsidR="00AE43F8" w:rsidRPr="00A95D2C">
        <w:rPr>
          <w:rFonts w:ascii="Arial" w:hAnsi="Arial" w:cs="Arial"/>
        </w:rPr>
        <w:t>достижение цели и планируемых результатов реализации муниципальной программы.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2Заказчик программы: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1)</w:t>
      </w:r>
      <w:r w:rsidR="00AE43F8" w:rsidRPr="00A95D2C">
        <w:rPr>
          <w:rFonts w:ascii="Arial" w:hAnsi="Arial" w:cs="Arial"/>
        </w:rPr>
        <w:t>разрабатывает муниципальную программу;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2)</w:t>
      </w:r>
      <w:r w:rsidR="00AE43F8" w:rsidRPr="00A95D2C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3)</w:t>
      </w:r>
      <w:r w:rsidR="00AE43F8" w:rsidRPr="00A95D2C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A95D2C">
        <w:rPr>
          <w:rFonts w:ascii="Arial" w:hAnsi="Arial" w:cs="Arial"/>
        </w:rPr>
        <w:t>ответственными</w:t>
      </w:r>
      <w:proofErr w:type="gramEnd"/>
      <w:r w:rsidR="00722D27" w:rsidRPr="00A95D2C">
        <w:rPr>
          <w:rFonts w:ascii="Arial" w:hAnsi="Arial" w:cs="Arial"/>
        </w:rPr>
        <w:t xml:space="preserve"> </w:t>
      </w:r>
      <w:r w:rsidR="00AE43F8" w:rsidRPr="00A95D2C">
        <w:rPr>
          <w:rFonts w:ascii="Arial" w:hAnsi="Arial" w:cs="Arial"/>
        </w:rPr>
        <w:t>за выполнение отдельных мероприятий и координацию их действий по реализации;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4)</w:t>
      </w:r>
      <w:r w:rsidR="00AE43F8" w:rsidRPr="00A95D2C">
        <w:rPr>
          <w:rFonts w:ascii="Arial" w:hAnsi="Arial" w:cs="Arial"/>
        </w:rPr>
        <w:t>формирует проекты адресных перечней, предусмотренных пунктом 30  Порядка, а также предложения по внесению в них изменений;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5)</w:t>
      </w:r>
      <w:r w:rsidR="00AE43F8" w:rsidRPr="00A95D2C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6)</w:t>
      </w:r>
      <w:r w:rsidR="00AE43F8" w:rsidRPr="00A95D2C">
        <w:rPr>
          <w:rFonts w:ascii="Arial" w:hAnsi="Arial" w:cs="Arial"/>
        </w:rPr>
        <w:t>готовит и представляет в управление экономики отчеты о реализации муниципальной программы, предусмотренные пунктом 32 Порядка;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7</w:t>
      </w:r>
      <w:r w:rsidR="0098098D" w:rsidRPr="00A95D2C">
        <w:rPr>
          <w:rFonts w:ascii="Arial" w:hAnsi="Arial" w:cs="Arial"/>
        </w:rPr>
        <w:t>)</w:t>
      </w:r>
      <w:r w:rsidRPr="00A95D2C">
        <w:rPr>
          <w:rFonts w:ascii="Arial" w:hAnsi="Arial" w:cs="Arial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8)</w:t>
      </w:r>
      <w:r w:rsidR="00AE43F8" w:rsidRPr="00A95D2C">
        <w:rPr>
          <w:rFonts w:ascii="Arial" w:hAnsi="Arial" w:cs="Arial"/>
        </w:rPr>
        <w:t>обеспечивает выполнение муниципальной программы, а также эффективность и результативность ее реализации.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3.Заказчик подпрограммы: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1)</w:t>
      </w:r>
      <w:r w:rsidR="00AE43F8" w:rsidRPr="00A95D2C">
        <w:rPr>
          <w:rFonts w:ascii="Arial" w:hAnsi="Arial" w:cs="Arial"/>
        </w:rPr>
        <w:t>разрабатывает подпрограмму;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2)</w:t>
      </w:r>
      <w:r w:rsidR="00AE43F8" w:rsidRPr="00A95D2C">
        <w:rPr>
          <w:rFonts w:ascii="Arial" w:hAnsi="Arial" w:cs="Arial"/>
        </w:rPr>
        <w:t>анализирует прогноз расходов на реализацию мероприятий подпрограммы и готовит финансовое экономическое обоснование;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3)</w:t>
      </w:r>
      <w:r w:rsidR="00AE43F8" w:rsidRPr="00A95D2C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A95D2C">
        <w:rPr>
          <w:rFonts w:ascii="Arial" w:hAnsi="Arial" w:cs="Arial"/>
        </w:rPr>
        <w:t>ответственными</w:t>
      </w:r>
      <w:proofErr w:type="gramEnd"/>
      <w:r w:rsidR="00AE43F8" w:rsidRPr="00A95D2C">
        <w:rPr>
          <w:rFonts w:ascii="Arial" w:hAnsi="Arial" w:cs="Arial"/>
        </w:rPr>
        <w:t xml:space="preserve"> за выполнение мероприятий;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4)</w:t>
      </w:r>
      <w:r w:rsidR="00AE43F8" w:rsidRPr="00A95D2C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5)</w:t>
      </w:r>
      <w:r w:rsidR="00AE43F8" w:rsidRPr="00A95D2C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6)</w:t>
      </w:r>
      <w:r w:rsidR="00AE43F8" w:rsidRPr="00A95D2C">
        <w:rPr>
          <w:rFonts w:ascii="Arial" w:hAnsi="Arial" w:cs="Arial"/>
        </w:rPr>
        <w:t>готовит и представляет заказчику программы предложения по формированию перечней, предусмотренных пунктом 30 Порядка, и внесению в них изменений;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7)</w:t>
      </w:r>
      <w:r w:rsidR="00AE43F8" w:rsidRPr="00A95D2C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lastRenderedPageBreak/>
        <w:t>4.</w:t>
      </w:r>
      <w:proofErr w:type="gramStart"/>
      <w:r w:rsidRPr="00A95D2C">
        <w:rPr>
          <w:rFonts w:ascii="Arial" w:hAnsi="Arial" w:cs="Arial"/>
        </w:rPr>
        <w:t>Ответственный</w:t>
      </w:r>
      <w:proofErr w:type="gramEnd"/>
      <w:r w:rsidRPr="00A95D2C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1)</w:t>
      </w:r>
      <w:r w:rsidR="00AE43F8" w:rsidRPr="00A95D2C">
        <w:rPr>
          <w:rFonts w:ascii="Arial" w:hAnsi="Arial" w:cs="Arial"/>
        </w:rPr>
        <w:t>формирует прогноз расходов на реализацию мероприятия и направляет его заказчику муниципальной программы (подпрограммы);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2)</w:t>
      </w:r>
      <w:r w:rsidR="00AE43F8" w:rsidRPr="00A95D2C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3)</w:t>
      </w:r>
      <w:r w:rsidR="00AE43F8" w:rsidRPr="00A95D2C">
        <w:rPr>
          <w:rFonts w:ascii="Arial" w:hAnsi="Arial" w:cs="Arial"/>
        </w:rPr>
        <w:t>готовит предложения по формированию перечней, предусмотренных пунктом 30 Порядка, и направляет их заказчику подпрограммы;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4)</w:t>
      </w:r>
      <w:r w:rsidR="00AE43F8" w:rsidRPr="00A95D2C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A95D2C" w:rsidRDefault="00AE43F8" w:rsidP="00CB4893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807849" w:rsidRPr="00A95D2C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A95D2C">
        <w:rPr>
          <w:rFonts w:ascii="Arial" w:hAnsi="Arial" w:cs="Arial"/>
          <w:b/>
        </w:rPr>
        <w:t xml:space="preserve"> </w:t>
      </w:r>
      <w:r w:rsidRPr="00A95D2C">
        <w:rPr>
          <w:rFonts w:ascii="Arial" w:hAnsi="Arial" w:cs="Arial"/>
          <w:b/>
        </w:rPr>
        <w:t>реализации мероприятий муниципальной программы</w:t>
      </w:r>
    </w:p>
    <w:p w:rsidR="00AE43F8" w:rsidRPr="00A95D2C" w:rsidRDefault="00AE43F8" w:rsidP="00AE43F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С целью </w:t>
      </w:r>
      <w:proofErr w:type="gramStart"/>
      <w:r w:rsidRPr="00A95D2C">
        <w:rPr>
          <w:rFonts w:ascii="Arial" w:hAnsi="Arial" w:cs="Arial"/>
        </w:rPr>
        <w:t>контроля за</w:t>
      </w:r>
      <w:proofErr w:type="gramEnd"/>
      <w:r w:rsidRPr="00A95D2C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</w:t>
      </w:r>
      <w:r w:rsidR="00980085" w:rsidRPr="00A95D2C">
        <w:rPr>
          <w:rFonts w:ascii="Arial" w:hAnsi="Arial" w:cs="Arial"/>
        </w:rPr>
        <w:t> </w:t>
      </w:r>
      <w:r w:rsidRPr="00A95D2C">
        <w:rPr>
          <w:rFonts w:ascii="Arial" w:hAnsi="Arial" w:cs="Arial"/>
        </w:rPr>
        <w:t>бумажном носителе: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1)</w:t>
      </w:r>
      <w:r w:rsidR="00AE43F8" w:rsidRPr="00A95D2C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а</w:t>
      </w:r>
      <w:proofErr w:type="gramStart"/>
      <w:r w:rsidRPr="00A95D2C">
        <w:rPr>
          <w:rFonts w:ascii="Arial" w:hAnsi="Arial" w:cs="Arial"/>
        </w:rPr>
        <w:t>)</w:t>
      </w:r>
      <w:r w:rsidR="00AE43F8" w:rsidRPr="00A95D2C">
        <w:rPr>
          <w:rFonts w:ascii="Arial" w:hAnsi="Arial" w:cs="Arial"/>
        </w:rPr>
        <w:t>о</w:t>
      </w:r>
      <w:proofErr w:type="gramEnd"/>
      <w:r w:rsidR="00AE43F8" w:rsidRPr="00A95D2C">
        <w:rPr>
          <w:rFonts w:ascii="Arial" w:hAnsi="Arial" w:cs="Arial"/>
        </w:rPr>
        <w:t>перативный отчет о реализации мероприятий, по форме согласно приложению № 6 к Порядку;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б</w:t>
      </w:r>
      <w:proofErr w:type="gramStart"/>
      <w:r w:rsidRPr="00A95D2C">
        <w:rPr>
          <w:rFonts w:ascii="Arial" w:hAnsi="Arial" w:cs="Arial"/>
        </w:rPr>
        <w:t>)</w:t>
      </w:r>
      <w:r w:rsidR="00AE43F8" w:rsidRPr="00A95D2C">
        <w:rPr>
          <w:rFonts w:ascii="Arial" w:hAnsi="Arial" w:cs="Arial"/>
        </w:rPr>
        <w:t>а</w:t>
      </w:r>
      <w:proofErr w:type="gramEnd"/>
      <w:r w:rsidR="00AE43F8" w:rsidRPr="00A95D2C">
        <w:rPr>
          <w:rFonts w:ascii="Arial" w:hAnsi="Arial" w:cs="Arial"/>
        </w:rPr>
        <w:t>налитическую записку, в которой указываются: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2)</w:t>
      </w:r>
      <w:r w:rsidR="00AE43F8" w:rsidRPr="00A95D2C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A95D2C">
        <w:rPr>
          <w:rFonts w:ascii="Arial" w:hAnsi="Arial" w:cs="Arial"/>
        </w:rPr>
        <w:t>отчетным</w:t>
      </w:r>
      <w:proofErr w:type="gramEnd"/>
      <w:r w:rsidR="00AE43F8" w:rsidRPr="00A95D2C">
        <w:rPr>
          <w:rFonts w:ascii="Arial" w:hAnsi="Arial" w:cs="Arial"/>
        </w:rPr>
        <w:t>: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а</w:t>
      </w:r>
      <w:proofErr w:type="gramStart"/>
      <w:r w:rsidRPr="00A95D2C">
        <w:rPr>
          <w:rFonts w:ascii="Arial" w:hAnsi="Arial" w:cs="Arial"/>
        </w:rPr>
        <w:t>)</w:t>
      </w:r>
      <w:r w:rsidR="00AE43F8" w:rsidRPr="00A95D2C">
        <w:rPr>
          <w:rFonts w:ascii="Arial" w:hAnsi="Arial" w:cs="Arial"/>
        </w:rPr>
        <w:t>г</w:t>
      </w:r>
      <w:proofErr w:type="gramEnd"/>
      <w:r w:rsidR="00AE43F8" w:rsidRPr="00A95D2C">
        <w:rPr>
          <w:rFonts w:ascii="Arial" w:hAnsi="Arial" w:cs="Arial"/>
        </w:rPr>
        <w:t xml:space="preserve">одовой отчет о реализации муниципальной программы, по форме согласно приложению № 7 к Порядку; </w:t>
      </w:r>
    </w:p>
    <w:p w:rsidR="00AE43F8" w:rsidRPr="00A95D2C" w:rsidRDefault="0098098D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б</w:t>
      </w:r>
      <w:proofErr w:type="gramStart"/>
      <w:r w:rsidRPr="00A95D2C">
        <w:rPr>
          <w:rFonts w:ascii="Arial" w:hAnsi="Arial" w:cs="Arial"/>
        </w:rPr>
        <w:t>)</w:t>
      </w:r>
      <w:r w:rsidR="00AE43F8" w:rsidRPr="00A95D2C">
        <w:rPr>
          <w:rFonts w:ascii="Arial" w:hAnsi="Arial" w:cs="Arial"/>
        </w:rPr>
        <w:t>а</w:t>
      </w:r>
      <w:proofErr w:type="gramEnd"/>
      <w:r w:rsidR="00AE43F8" w:rsidRPr="00A95D2C">
        <w:rPr>
          <w:rFonts w:ascii="Arial" w:hAnsi="Arial" w:cs="Arial"/>
        </w:rPr>
        <w:t>налитическую записку, в которой указываются:</w:t>
      </w:r>
    </w:p>
    <w:p w:rsidR="00AE43F8" w:rsidRPr="00A95D2C" w:rsidRDefault="00AE43F8" w:rsidP="00AE43F8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</w:pPr>
      <w:r w:rsidRPr="00A95D2C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0D0775" w:rsidRPr="00A95D2C" w:rsidRDefault="00AE43F8" w:rsidP="00056A4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rFonts w:ascii="Arial" w:hAnsi="Arial" w:cs="Arial"/>
        </w:rPr>
        <w:sectPr w:rsidR="000D0775" w:rsidRPr="00A95D2C" w:rsidSect="005E4D5A">
          <w:pgSz w:w="11906" w:h="16838"/>
          <w:pgMar w:top="1134" w:right="707" w:bottom="568" w:left="1134" w:header="709" w:footer="709" w:gutter="0"/>
          <w:cols w:space="708"/>
          <w:docGrid w:linePitch="360"/>
        </w:sectPr>
      </w:pPr>
      <w:r w:rsidRPr="00A95D2C">
        <w:rPr>
          <w:rFonts w:ascii="Arial" w:hAnsi="Arial" w:cs="Arial"/>
        </w:rPr>
        <w:t>общий объем фактически произведенных расходов, в том чис</w:t>
      </w:r>
      <w:r w:rsidR="00056A42" w:rsidRPr="00A95D2C">
        <w:rPr>
          <w:rFonts w:ascii="Arial" w:hAnsi="Arial" w:cs="Arial"/>
        </w:rPr>
        <w:t>ле по источникам финансирования.</w:t>
      </w:r>
    </w:p>
    <w:p w:rsidR="006C0711" w:rsidRPr="00A95D2C" w:rsidRDefault="006C0711" w:rsidP="006C0711">
      <w:pPr>
        <w:spacing w:line="276" w:lineRule="auto"/>
        <w:ind w:firstLine="7938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lastRenderedPageBreak/>
        <w:t>Приложение №2</w:t>
      </w:r>
    </w:p>
    <w:p w:rsidR="006C0711" w:rsidRPr="00A95D2C" w:rsidRDefault="006C0711" w:rsidP="006C0711">
      <w:pPr>
        <w:spacing w:line="276" w:lineRule="auto"/>
        <w:ind w:firstLine="567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к Постановлению администрации </w:t>
      </w:r>
      <w:proofErr w:type="gramStart"/>
      <w:r w:rsidRPr="00A95D2C">
        <w:rPr>
          <w:rFonts w:ascii="Arial" w:hAnsi="Arial" w:cs="Arial"/>
        </w:rPr>
        <w:t>городского</w:t>
      </w:r>
      <w:proofErr w:type="gramEnd"/>
    </w:p>
    <w:p w:rsidR="006C0711" w:rsidRPr="00A95D2C" w:rsidRDefault="006C0711" w:rsidP="006C071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округа Люберцы Московской области</w:t>
      </w:r>
    </w:p>
    <w:p w:rsidR="006C0711" w:rsidRPr="00A95D2C" w:rsidRDefault="006C0711" w:rsidP="006C071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от </w:t>
      </w:r>
      <w:r w:rsidR="00A95D2C">
        <w:rPr>
          <w:rFonts w:ascii="Arial" w:hAnsi="Arial" w:cs="Arial"/>
        </w:rPr>
        <w:t xml:space="preserve">31.03.2021 </w:t>
      </w:r>
      <w:r w:rsidRPr="00A95D2C">
        <w:rPr>
          <w:rFonts w:ascii="Arial" w:hAnsi="Arial" w:cs="Arial"/>
        </w:rPr>
        <w:t xml:space="preserve">№ </w:t>
      </w:r>
      <w:r w:rsidR="00A95D2C">
        <w:rPr>
          <w:rFonts w:ascii="Arial" w:hAnsi="Arial" w:cs="Arial"/>
        </w:rPr>
        <w:t>974-ПА</w:t>
      </w:r>
    </w:p>
    <w:p w:rsidR="006C0711" w:rsidRPr="00A95D2C" w:rsidRDefault="006C0711" w:rsidP="00056A42">
      <w:pPr>
        <w:jc w:val="right"/>
        <w:rPr>
          <w:rFonts w:ascii="Arial" w:hAnsi="Arial" w:cs="Arial"/>
          <w:u w:val="single"/>
        </w:rPr>
      </w:pPr>
    </w:p>
    <w:p w:rsidR="009C039A" w:rsidRPr="00A95D2C" w:rsidRDefault="004C076C" w:rsidP="00E10C10">
      <w:pPr>
        <w:spacing w:before="120" w:after="240"/>
        <w:jc w:val="center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>Планируемые результаты реализации муниципальной программы</w:t>
      </w:r>
      <w:r w:rsidR="000D0775" w:rsidRPr="00A95D2C">
        <w:rPr>
          <w:rFonts w:ascii="Arial" w:hAnsi="Arial" w:cs="Arial"/>
          <w:b/>
        </w:rPr>
        <w:t xml:space="preserve"> </w:t>
      </w:r>
      <w:r w:rsidRPr="00A95D2C">
        <w:rPr>
          <w:rFonts w:ascii="Arial" w:hAnsi="Arial" w:cs="Arial"/>
          <w:b/>
        </w:rPr>
        <w:t>«Предпринимательство</w:t>
      </w:r>
      <w:r w:rsidR="005133A4" w:rsidRPr="00A95D2C">
        <w:rPr>
          <w:rFonts w:ascii="Arial" w:hAnsi="Arial" w:cs="Arial"/>
          <w:b/>
        </w:rPr>
        <w:t>»</w:t>
      </w:r>
    </w:p>
    <w:tbl>
      <w:tblPr>
        <w:tblW w:w="1491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90"/>
        <w:gridCol w:w="1078"/>
        <w:gridCol w:w="1063"/>
        <w:gridCol w:w="724"/>
        <w:gridCol w:w="992"/>
        <w:gridCol w:w="1463"/>
        <w:gridCol w:w="1559"/>
        <w:gridCol w:w="1418"/>
        <w:gridCol w:w="1529"/>
        <w:gridCol w:w="1417"/>
        <w:gridCol w:w="1418"/>
        <w:gridCol w:w="709"/>
      </w:tblGrid>
      <w:tr w:rsidR="002F5815" w:rsidRPr="00A95D2C" w:rsidTr="00A95D2C">
        <w:trPr>
          <w:trHeight w:val="20"/>
        </w:trPr>
        <w:tc>
          <w:tcPr>
            <w:tcW w:w="354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A95D2C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190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078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t>Задачи</w:t>
            </w:r>
            <w:proofErr w:type="gramEnd"/>
            <w:r w:rsidRPr="00A95D2C">
              <w:rPr>
                <w:rFonts w:ascii="Arial" w:hAnsi="Arial" w:cs="Arial"/>
                <w:sz w:val="22"/>
                <w:szCs w:val="22"/>
              </w:rPr>
              <w:t xml:space="preserve"> направленные на достижение цели</w:t>
            </w:r>
          </w:p>
        </w:tc>
        <w:tc>
          <w:tcPr>
            <w:tcW w:w="1063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724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Тип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Единица</w:t>
            </w:r>
          </w:p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измерения</w:t>
            </w:r>
          </w:p>
        </w:tc>
        <w:tc>
          <w:tcPr>
            <w:tcW w:w="1463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Базовое значение показателя на начало реализации программы</w:t>
            </w:r>
          </w:p>
        </w:tc>
        <w:tc>
          <w:tcPr>
            <w:tcW w:w="7341" w:type="dxa"/>
            <w:gridSpan w:val="5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709" w:type="dxa"/>
            <w:vMerge w:val="restart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Номер основного мероприятия в перечне мероприятий программы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Merge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vMerge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vMerge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709" w:type="dxa"/>
            <w:vMerge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560" w:type="dxa"/>
            <w:gridSpan w:val="12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b/>
                <w:sz w:val="22"/>
                <w:szCs w:val="22"/>
              </w:rPr>
              <w:t xml:space="preserve">Подпрограмма 1 «Инвестиции»                       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механизмов реализации единой государственной инвестиционной  политики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на территории городского округа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Количество созданных рабочих мест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</w:t>
            </w:r>
            <w:r w:rsidRPr="00A95D2C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ди</w:t>
            </w:r>
            <w:r w:rsidRPr="00A95D2C">
              <w:rPr>
                <w:rFonts w:ascii="Arial" w:hAnsi="Arial" w:cs="Arial"/>
                <w:sz w:val="22"/>
                <w:szCs w:val="22"/>
              </w:rPr>
              <w:t>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1781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1782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1551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1657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1702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1880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Формирование благоприятной среды для развития предпринимательства. Информационное и научно-методическое обеспечение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малого и среднего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102,8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102,8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103,1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тысяча</w:t>
            </w:r>
          </w:p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рублей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35,39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43,84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44,06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67,20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68,28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68,62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24,3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42,1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57,2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73,4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1190" w:type="dxa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инвестиц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механиз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Объем инвестиций в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тыс</w:t>
            </w: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A95D2C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A9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19999087,24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20419437,24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20719005,34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21028625,05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21343722,91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A95D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34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21664945,94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Создание благоприятных условий для реализации инвестиционных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Количество привлеченных резидентов на территории многофункциона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единица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1.7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Создание благоприятных условий для реализации инвестиционных проектов в области промышленности, транспо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рта и  прочих отраслей в городском округе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единица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2,10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1.8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ы.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Задолженность по выплате заработной платы «Зарплата без долгов»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МП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рубль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20337786,08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Производительность труда в базовых </w:t>
            </w:r>
            <w:proofErr w:type="spellStart"/>
            <w:r w:rsidRPr="00A95D2C">
              <w:rPr>
                <w:rFonts w:ascii="Arial" w:hAnsi="Arial" w:cs="Arial"/>
                <w:sz w:val="22"/>
                <w:szCs w:val="22"/>
              </w:rPr>
              <w:t>несырьевых</w:t>
            </w:r>
            <w:proofErr w:type="spellEnd"/>
            <w:r w:rsidRPr="00A95D2C">
              <w:rPr>
                <w:rFonts w:ascii="Arial" w:hAnsi="Arial" w:cs="Arial"/>
                <w:sz w:val="22"/>
                <w:szCs w:val="22"/>
              </w:rPr>
              <w:t xml:space="preserve"> отраслях экономики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2,2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1.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Повышен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Реализа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ция механизмов поддержки субъектов малого и среднего бизнеса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Площад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ь территории, на которую привлечены новые резиденты 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2,9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5,6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6,52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8,49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1190" w:type="dxa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инвестиционной привлекательности городского округа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механизмов реализации единой государс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твенной инвестиционной  политики на территории городского округа Люберцы.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Темп роста (индекс роста) физического объема инвести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95D2C">
              <w:rPr>
                <w:rFonts w:ascii="Arial" w:hAnsi="Arial" w:cs="Arial"/>
                <w:sz w:val="22"/>
                <w:szCs w:val="22"/>
                <w:lang w:val="en-US"/>
              </w:rPr>
              <w:t>процент</w:t>
            </w:r>
            <w:proofErr w:type="spellEnd"/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560" w:type="dxa"/>
            <w:gridSpan w:val="12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A95D2C">
              <w:rPr>
                <w:rFonts w:ascii="Arial" w:hAnsi="Arial" w:cs="Arial"/>
                <w:b/>
                <w:sz w:val="22"/>
                <w:szCs w:val="22"/>
              </w:rPr>
              <w:t>Подпрограмма 2. «</w:t>
            </w:r>
            <w:r w:rsidRPr="00A95D2C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Развитие конкуренции»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Развитие конкуренции в городском округе Люберцы путем повышения активизации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Доля обоснованных, частично обоснованных жалоб в Федеральную антимон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опольную службу (ФАС России) (от общего количества опубликованных торгов)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Доля несостоявшихся торгов от общего количества объявленных торгов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17,13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Среднее количество участников на состоявшихся торгах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4,98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3,4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4,2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Содействие росту конкурентоспособности и продвижению продукции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</w:t>
            </w: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t xml:space="preserve">общей экономии денежных средств от общей суммы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объявленных торгов</w:t>
            </w:r>
            <w:proofErr w:type="gramEnd"/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11,69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городского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Доля закупок среди субъектов малого предпринимательства, социально ориентированных некоммерческих организаций, осуществляемых в соответс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твии с Федеральным законом от 05.04.2013 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62,40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190" w:type="dxa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Развитие конкуренции в городском округе Люберцы путем повышения активизации существу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конкурентной среды в рамках Федерального закона от 05.04.2013 № 44-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и Федерального закона  от 18.07.2011  № 223-ФЗ «О закупках товаров, работ, услуг отдельными видами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юридических лиц» (далее – Федеральный закон  № 223-ФЗ)  реализация комплекса мер по содействию развитию конкуренции.</w:t>
            </w:r>
            <w:proofErr w:type="gramEnd"/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Количество реализованных требований Стандарта развития конкуренции в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560" w:type="dxa"/>
            <w:gridSpan w:val="12"/>
            <w:vAlign w:val="center"/>
          </w:tcPr>
          <w:p w:rsidR="002F5815" w:rsidRPr="00A95D2C" w:rsidRDefault="002F5815" w:rsidP="000555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A95D2C">
              <w:rPr>
                <w:rFonts w:ascii="Arial" w:hAnsi="Arial" w:cs="Arial"/>
                <w:b/>
                <w:sz w:val="22"/>
                <w:szCs w:val="22"/>
              </w:rPr>
              <w:t>Подпрограмма 3 «Развитие малого и среднего предпринимательства»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Формирование благоприятной среды для развития предпринимательства; Информационное и научно-методическое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малого и среднего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563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596,96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597,3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598,4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Вновь созданные предприятия МСП в сфере производства или услуг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517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405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95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Увеличение вклада субъектов малого и среднего предприни</w:t>
            </w:r>
            <w:r w:rsidRPr="00A95D2C">
              <w:rPr>
                <w:rFonts w:ascii="Arial" w:hAnsi="Arial" w:cs="Arial"/>
                <w:sz w:val="22"/>
                <w:szCs w:val="22"/>
              </w:rPr>
              <w:softHyphen/>
              <w:t>мательства в экономику городского округа Люберцы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Количество вновь созданных субъектов МСП участниками проекта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тысяча 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0,021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0,021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0,016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0,011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95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3.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Формиров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Финансо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вая и имущественная поддержка субъектов малого и среднего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Малый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126,2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126,3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126,4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126,54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126,6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Формирование благоприятной среды для развития предпри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 w:themeColor="text1"/>
                <w:sz w:val="22"/>
                <w:szCs w:val="22"/>
              </w:rPr>
              <w:t>47,1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47,27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48,22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49,20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49,23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49,28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функционирования и развития субъектов малого и среднего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Увеличение вклада субъектов малого и среднего предприни</w:t>
            </w:r>
            <w:r w:rsidRPr="00A95D2C">
              <w:rPr>
                <w:rFonts w:ascii="Arial" w:hAnsi="Arial" w:cs="Arial"/>
                <w:sz w:val="22"/>
                <w:szCs w:val="22"/>
              </w:rPr>
              <w:softHyphen/>
              <w:t xml:space="preserve">мательства в экономику городского округа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Люберцы</w:t>
            </w:r>
          </w:p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 w:rsidRPr="00A95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</w:t>
            </w:r>
            <w:r w:rsidRPr="00A95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>ей за отчетный период (прошедший год)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5D2C">
              <w:rPr>
                <w:rFonts w:ascii="Arial" w:hAnsi="Arial" w:cs="Arial"/>
                <w:bCs/>
                <w:sz w:val="22"/>
                <w:szCs w:val="22"/>
              </w:rPr>
              <w:t>38302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54108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56458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60641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64449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67786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95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формирования эффективных механизмов его поддержки.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rPr>
                <w:rFonts w:ascii="Arial" w:hAnsi="Arial" w:cs="Arial"/>
                <w:bCs/>
                <w:sz w:val="22"/>
                <w:szCs w:val="22"/>
              </w:rPr>
            </w:pPr>
            <w:r w:rsidRPr="00A95D2C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Количество </w:t>
            </w:r>
            <w:proofErr w:type="spellStart"/>
            <w:r w:rsidRPr="00A95D2C">
              <w:rPr>
                <w:rFonts w:ascii="Arial" w:hAnsi="Arial" w:cs="Arial"/>
                <w:bCs/>
                <w:sz w:val="22"/>
                <w:szCs w:val="22"/>
              </w:rPr>
              <w:t>самозанятых</w:t>
            </w:r>
            <w:proofErr w:type="spellEnd"/>
            <w:r w:rsidRPr="00A95D2C">
              <w:rPr>
                <w:rFonts w:ascii="Arial" w:hAnsi="Arial" w:cs="Arial"/>
                <w:bCs/>
                <w:sz w:val="22"/>
                <w:szCs w:val="22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A95D2C">
              <w:rPr>
                <w:rFonts w:ascii="Arial" w:hAnsi="Arial" w:cs="Arial"/>
                <w:bCs/>
                <w:sz w:val="22"/>
                <w:szCs w:val="22"/>
              </w:rPr>
              <w:t>самозанятых</w:t>
            </w:r>
            <w:proofErr w:type="spellEnd"/>
            <w:r w:rsidRPr="00A95D2C">
              <w:rPr>
                <w:rFonts w:ascii="Arial" w:hAnsi="Arial" w:cs="Arial"/>
                <w:bCs/>
                <w:sz w:val="22"/>
                <w:szCs w:val="22"/>
              </w:rPr>
              <w:t>, нарастающим итогом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pStyle w:val="ConsPlusNonformat"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5D2C">
              <w:rPr>
                <w:rFonts w:ascii="Arial" w:hAnsi="Arial" w:cs="Arial"/>
                <w:bCs/>
                <w:sz w:val="22"/>
                <w:szCs w:val="22"/>
              </w:rPr>
              <w:t>2500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3625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5700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5705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5710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5715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95D2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A95D2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560" w:type="dxa"/>
            <w:gridSpan w:val="12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5D2C">
              <w:rPr>
                <w:rFonts w:ascii="Arial" w:hAnsi="Arial" w:cs="Arial"/>
                <w:b/>
                <w:sz w:val="22"/>
                <w:szCs w:val="22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4.1</w:t>
            </w:r>
            <w:r w:rsidR="003D604D" w:rsidRPr="00A9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Обеспеченность населения площадью торговых объектов</w:t>
            </w:r>
          </w:p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5D2C">
              <w:rPr>
                <w:rFonts w:ascii="Arial" w:hAnsi="Arial" w:cs="Arial"/>
                <w:sz w:val="22"/>
                <w:szCs w:val="22"/>
              </w:rPr>
              <w:t>кв</w:t>
            </w:r>
            <w:proofErr w:type="gramStart"/>
            <w:r w:rsidRPr="00A95D2C">
              <w:rPr>
                <w:rFonts w:ascii="Arial" w:hAnsi="Arial" w:cs="Arial"/>
                <w:sz w:val="22"/>
                <w:szCs w:val="22"/>
              </w:rPr>
              <w:t>.м</w:t>
            </w:r>
            <w:proofErr w:type="spellEnd"/>
            <w:proofErr w:type="gramEnd"/>
            <w:r w:rsidRPr="00A95D2C">
              <w:rPr>
                <w:rFonts w:ascii="Arial" w:hAnsi="Arial" w:cs="Arial"/>
                <w:sz w:val="22"/>
                <w:szCs w:val="22"/>
              </w:rPr>
              <w:t>/1000 человек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1070,0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1112,8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1124,0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1126,8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1132,1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1132,0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Прирост площадей торговых объектов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тыс.кв</w:t>
            </w:r>
            <w:proofErr w:type="gramStart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3D604D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инфраструктуры потребительского рынка и услуг на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Цивилизованная торговля (Ликвидация незаконных нестаци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онарных торговых объектов) </w:t>
            </w:r>
          </w:p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балл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spacing w:line="276" w:lineRule="auto"/>
              <w:ind w:firstLine="709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3D604D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Стандарт потребительского рынка и услуг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2704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3D604D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Прирост посадочных мест на объектах общественного питания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посадочные места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3D60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  <w:r w:rsidR="003D604D" w:rsidRPr="00A95D2C">
              <w:rPr>
                <w:rFonts w:ascii="Arial" w:hAnsi="Arial" w:cs="Arial"/>
                <w:sz w:val="22"/>
                <w:szCs w:val="22"/>
              </w:rPr>
              <w:t>6</w:t>
            </w:r>
            <w:r w:rsidRPr="00A9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эффективности потребительского рынка городского округа Люберцы посредством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инфраструктуры потребительского рынка и услуг на территории городского округа Люберцы Московской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Прирост рабочих мест на объектах бытового обслуживания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рабочиеместа</w:t>
            </w:r>
            <w:proofErr w:type="spellEnd"/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3D604D" w:rsidP="00055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4.7.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 xml:space="preserve">Повышение социально-экономической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 xml:space="preserve">Развитие инфраструктуры потребительского 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Доля ОДС, </w:t>
            </w:r>
            <w:proofErr w:type="gramStart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соответствующих</w:t>
            </w:r>
            <w:proofErr w:type="gramEnd"/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 xml:space="preserve"> требованиям, </w:t>
            </w: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нормам и стандартам действующего законодательства, от общего количества ОДС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2F5815" w:rsidRPr="00A95D2C" w:rsidTr="00A95D2C">
        <w:trPr>
          <w:trHeight w:val="20"/>
        </w:trPr>
        <w:tc>
          <w:tcPr>
            <w:tcW w:w="354" w:type="dxa"/>
            <w:vAlign w:val="center"/>
          </w:tcPr>
          <w:p w:rsidR="002F5815" w:rsidRPr="00A95D2C" w:rsidRDefault="002F5815" w:rsidP="003D60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  <w:r w:rsidR="003D604D" w:rsidRPr="00A95D2C">
              <w:rPr>
                <w:rFonts w:ascii="Arial" w:hAnsi="Arial" w:cs="Arial"/>
                <w:sz w:val="22"/>
                <w:szCs w:val="22"/>
              </w:rPr>
              <w:t>8</w:t>
            </w:r>
            <w:r w:rsidRPr="00A95D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90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</w:t>
            </w: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го функционирования и сбалансированного развития различных видов, типов и способов торговли</w:t>
            </w:r>
          </w:p>
        </w:tc>
        <w:tc>
          <w:tcPr>
            <w:tcW w:w="1078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sz w:val="22"/>
                <w:szCs w:val="22"/>
              </w:rPr>
            </w:pPr>
            <w:r w:rsidRPr="00A95D2C">
              <w:rPr>
                <w:rFonts w:ascii="Arial" w:hAnsi="Arial" w:cs="Arial"/>
                <w:sz w:val="22"/>
                <w:szCs w:val="22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1063" w:type="dxa"/>
            <w:vAlign w:val="center"/>
          </w:tcPr>
          <w:p w:rsidR="002F5815" w:rsidRPr="00A95D2C" w:rsidRDefault="002F5815" w:rsidP="00055557">
            <w:pPr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724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1463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2F5815" w:rsidRPr="00A95D2C" w:rsidRDefault="002F5815" w:rsidP="00055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5D2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:rsidR="00954B1A" w:rsidRPr="00A95D2C" w:rsidRDefault="00954B1A" w:rsidP="00903D60">
      <w:pPr>
        <w:shd w:val="clear" w:color="auto" w:fill="FFFFFF"/>
        <w:spacing w:after="150"/>
        <w:rPr>
          <w:rFonts w:ascii="Arial" w:hAnsi="Arial" w:cs="Arial"/>
          <w:b/>
          <w:color w:val="333333"/>
        </w:rPr>
      </w:pPr>
    </w:p>
    <w:p w:rsidR="00954B1A" w:rsidRDefault="00954B1A" w:rsidP="00954B1A">
      <w:pPr>
        <w:shd w:val="clear" w:color="auto" w:fill="FFFFFF"/>
        <w:spacing w:after="150"/>
        <w:rPr>
          <w:rFonts w:ascii="Arial" w:hAnsi="Arial" w:cs="Arial"/>
          <w:b/>
          <w:color w:val="333333"/>
        </w:rPr>
      </w:pPr>
    </w:p>
    <w:p w:rsidR="00A940E9" w:rsidRPr="00A95D2C" w:rsidRDefault="00A940E9" w:rsidP="00A940E9">
      <w:pPr>
        <w:spacing w:line="276" w:lineRule="auto"/>
        <w:ind w:firstLine="7938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Приложение №3</w:t>
      </w:r>
    </w:p>
    <w:p w:rsidR="00A940E9" w:rsidRPr="00A95D2C" w:rsidRDefault="00A940E9" w:rsidP="00A940E9">
      <w:pPr>
        <w:spacing w:line="276" w:lineRule="auto"/>
        <w:ind w:firstLine="567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к Постановлению администрации </w:t>
      </w:r>
      <w:proofErr w:type="gramStart"/>
      <w:r w:rsidRPr="00A95D2C">
        <w:rPr>
          <w:rFonts w:ascii="Arial" w:hAnsi="Arial" w:cs="Arial"/>
        </w:rPr>
        <w:t>городского</w:t>
      </w:r>
      <w:proofErr w:type="gramEnd"/>
    </w:p>
    <w:p w:rsidR="00A940E9" w:rsidRPr="00A95D2C" w:rsidRDefault="00A940E9" w:rsidP="00A940E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округа Люберцы Московской области</w:t>
      </w:r>
    </w:p>
    <w:p w:rsidR="00A940E9" w:rsidRPr="00A95D2C" w:rsidRDefault="00A940E9" w:rsidP="00A940E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 xml:space="preserve">от </w:t>
      </w:r>
      <w:r w:rsidR="00A95D2C">
        <w:rPr>
          <w:rFonts w:ascii="Arial" w:hAnsi="Arial" w:cs="Arial"/>
        </w:rPr>
        <w:t xml:space="preserve">31.03.2021 </w:t>
      </w:r>
      <w:r w:rsidRPr="00A95D2C">
        <w:rPr>
          <w:rFonts w:ascii="Arial" w:hAnsi="Arial" w:cs="Arial"/>
        </w:rPr>
        <w:t xml:space="preserve">№ </w:t>
      </w:r>
      <w:r w:rsidR="00A95D2C">
        <w:rPr>
          <w:rFonts w:ascii="Arial" w:hAnsi="Arial" w:cs="Arial"/>
        </w:rPr>
        <w:t>974-ПА</w:t>
      </w:r>
    </w:p>
    <w:p w:rsidR="00A940E9" w:rsidRPr="00A95D2C" w:rsidRDefault="00A940E9" w:rsidP="00A001D7">
      <w:pPr>
        <w:spacing w:line="276" w:lineRule="auto"/>
        <w:jc w:val="right"/>
        <w:rPr>
          <w:rFonts w:ascii="Arial" w:hAnsi="Arial" w:cs="Arial"/>
          <w:u w:val="single"/>
        </w:rPr>
      </w:pPr>
    </w:p>
    <w:p w:rsidR="00E10C10" w:rsidRPr="00A95D2C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A95D2C">
        <w:rPr>
          <w:rFonts w:ascii="Arial" w:hAnsi="Arial" w:cs="Arial"/>
          <w:u w:val="single"/>
        </w:rPr>
        <w:t xml:space="preserve">Приложение </w:t>
      </w:r>
      <w:r w:rsidR="000A72D1" w:rsidRPr="00A95D2C">
        <w:rPr>
          <w:rFonts w:ascii="Arial" w:hAnsi="Arial" w:cs="Arial"/>
          <w:u w:val="single"/>
        </w:rPr>
        <w:t>3</w:t>
      </w:r>
    </w:p>
    <w:p w:rsidR="00954B1A" w:rsidRPr="00A95D2C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A95D2C">
        <w:rPr>
          <w:rFonts w:ascii="Arial" w:hAnsi="Arial" w:cs="Arial"/>
        </w:rPr>
        <w:t>к программе «Предпринимательство»</w:t>
      </w:r>
    </w:p>
    <w:p w:rsidR="00E10C10" w:rsidRPr="00A95D2C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7214E1" w:rsidRPr="00A95D2C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A95D2C">
        <w:rPr>
          <w:rFonts w:ascii="Arial" w:hAnsi="Arial" w:cs="Arial"/>
          <w:b/>
        </w:rPr>
        <w:t xml:space="preserve">Паспорт подпрограммы </w:t>
      </w:r>
      <w:r w:rsidR="00B20373" w:rsidRPr="00A95D2C">
        <w:rPr>
          <w:rFonts w:ascii="Arial" w:hAnsi="Arial" w:cs="Arial"/>
          <w:b/>
        </w:rPr>
        <w:t>2</w:t>
      </w:r>
      <w:r w:rsidR="006752E3" w:rsidRPr="00A95D2C">
        <w:rPr>
          <w:rFonts w:ascii="Arial" w:hAnsi="Arial" w:cs="Arial"/>
          <w:b/>
        </w:rPr>
        <w:t xml:space="preserve"> </w:t>
      </w:r>
      <w:r w:rsidRPr="00A95D2C">
        <w:rPr>
          <w:rFonts w:ascii="Arial" w:hAnsi="Arial" w:cs="Arial"/>
          <w:b/>
        </w:rPr>
        <w:t>«Развитие конкуренции»</w:t>
      </w:r>
    </w:p>
    <w:p w:rsidR="007214E1" w:rsidRPr="00A95D2C" w:rsidRDefault="007214E1" w:rsidP="007214E1">
      <w:pPr>
        <w:rPr>
          <w:rFonts w:ascii="Arial" w:hAnsi="Arial" w:cs="Arial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991"/>
        <w:gridCol w:w="1018"/>
        <w:gridCol w:w="992"/>
        <w:gridCol w:w="992"/>
        <w:gridCol w:w="1134"/>
      </w:tblGrid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6752E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Источники</w:t>
            </w:r>
            <w:r w:rsidR="006752E3" w:rsidRPr="00A95D2C">
              <w:rPr>
                <w:rFonts w:ascii="Arial" w:hAnsi="Arial" w:cs="Arial"/>
              </w:rPr>
              <w:t xml:space="preserve"> </w:t>
            </w:r>
            <w:r w:rsidRPr="00A95D2C">
              <w:rPr>
                <w:rFonts w:ascii="Arial" w:hAnsi="Arial" w:cs="Arial"/>
              </w:rPr>
              <w:t>финансирования</w:t>
            </w:r>
            <w:r w:rsidR="006752E3" w:rsidRPr="00A95D2C">
              <w:rPr>
                <w:rFonts w:ascii="Arial" w:hAnsi="Arial" w:cs="Arial"/>
              </w:rPr>
              <w:t xml:space="preserve"> подпрограммы по </w:t>
            </w:r>
            <w:r w:rsidRPr="00A95D2C">
              <w:rPr>
                <w:rFonts w:ascii="Arial" w:hAnsi="Arial" w:cs="Arial"/>
              </w:rPr>
              <w:t>годам реализации и</w:t>
            </w:r>
            <w:r w:rsidR="006752E3" w:rsidRPr="00A95D2C">
              <w:rPr>
                <w:rFonts w:ascii="Arial" w:hAnsi="Arial" w:cs="Arial"/>
              </w:rPr>
              <w:t xml:space="preserve"> </w:t>
            </w:r>
            <w:r w:rsidRPr="00A95D2C">
              <w:rPr>
                <w:rFonts w:ascii="Arial" w:hAnsi="Arial" w:cs="Arial"/>
              </w:rPr>
              <w:t xml:space="preserve">главным </w:t>
            </w:r>
            <w:r w:rsidRPr="00A95D2C">
              <w:rPr>
                <w:rFonts w:ascii="Arial" w:hAnsi="Arial" w:cs="Arial"/>
              </w:rPr>
              <w:lastRenderedPageBreak/>
              <w:t>распорядителям бюджетных средств,</w:t>
            </w:r>
            <w:r w:rsidR="006752E3" w:rsidRPr="00A95D2C">
              <w:rPr>
                <w:rFonts w:ascii="Arial" w:hAnsi="Arial" w:cs="Arial"/>
              </w:rPr>
              <w:t xml:space="preserve"> </w:t>
            </w:r>
            <w:r w:rsidRPr="00A95D2C">
              <w:rPr>
                <w:rFonts w:ascii="Arial" w:hAnsi="Arial" w:cs="Arial"/>
              </w:rPr>
              <w:t xml:space="preserve">в том числе по </w:t>
            </w:r>
            <w:r w:rsidR="00993906" w:rsidRPr="00A95D2C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2021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Администрация  городского округа </w:t>
            </w:r>
            <w:r w:rsidRPr="00A95D2C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9E1C6F" w:rsidP="009E1C6F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Средства бюджета </w:t>
            </w:r>
            <w:r w:rsidRPr="00A95D2C">
              <w:rPr>
                <w:rFonts w:ascii="Arial" w:hAnsi="Arial" w:cs="Arial"/>
              </w:rPr>
              <w:lastRenderedPageBreak/>
              <w:t xml:space="preserve">Московской области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  <w:tr w:rsidR="00EE13FF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A95D2C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3FF" w:rsidRPr="00A95D2C" w:rsidRDefault="00EE13FF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FF" w:rsidRPr="00A95D2C" w:rsidRDefault="00EE13FF" w:rsidP="009E1C6F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FF" w:rsidRPr="00A95D2C" w:rsidRDefault="00EE13FF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9E1C6F" w:rsidP="007214E1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  <w:tr w:rsidR="007214E1" w:rsidRPr="00A95D2C" w:rsidTr="005004E6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A95D2C" w:rsidRDefault="009E1C6F" w:rsidP="009E1C6F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A95D2C" w:rsidRDefault="007214E1" w:rsidP="006752E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</w:tr>
    </w:tbl>
    <w:p w:rsidR="00486797" w:rsidRPr="00A95D2C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A95D2C" w:rsidRDefault="007214E1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95D2C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A95D2C">
        <w:rPr>
          <w:rFonts w:ascii="Arial" w:hAnsi="Arial" w:cs="Arial"/>
          <w:sz w:val="24"/>
          <w:szCs w:val="24"/>
        </w:rPr>
        <w:t xml:space="preserve">, </w:t>
      </w:r>
      <w:r w:rsidR="00182D1A" w:rsidRPr="00A95D2C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A95D2C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A95D2C">
        <w:rPr>
          <w:rFonts w:ascii="Arial" w:hAnsi="Arial" w:cs="Arial"/>
          <w:color w:val="000000"/>
        </w:rPr>
        <w:t xml:space="preserve">126 </w:t>
      </w:r>
      <w:r w:rsidRPr="00A95D2C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A95D2C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 </w:t>
      </w:r>
      <w:proofErr w:type="gramStart"/>
      <w:r w:rsidRPr="00A95D2C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A95D2C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A95D2C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A95D2C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 xml:space="preserve">эффективных способов снижения издержек является проведение </w:t>
      </w:r>
      <w:r w:rsidRPr="00A95D2C">
        <w:rPr>
          <w:rFonts w:ascii="Arial" w:hAnsi="Arial" w:cs="Arial"/>
          <w:color w:val="000000"/>
        </w:rPr>
        <w:lastRenderedPageBreak/>
        <w:t>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A95D2C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A95D2C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A95D2C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A95D2C">
        <w:rPr>
          <w:rFonts w:ascii="Arial" w:hAnsi="Arial" w:cs="Arial"/>
          <w:color w:val="000000"/>
        </w:rPr>
        <w:t>–</w:t>
      </w:r>
      <w:r w:rsidRPr="00A95D2C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A95D2C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A95D2C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A95D2C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A95D2C">
        <w:rPr>
          <w:rFonts w:ascii="Arial" w:hAnsi="Arial" w:cs="Arial"/>
          <w:color w:val="000000"/>
        </w:rPr>
        <w:t> </w:t>
      </w:r>
      <w:r w:rsidRPr="00A95D2C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A95D2C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</w:rPr>
        <w:t>3</w:t>
      </w:r>
      <w:r w:rsidR="00D20CAC" w:rsidRPr="00A95D2C">
        <w:rPr>
          <w:rFonts w:ascii="Arial" w:hAnsi="Arial" w:cs="Arial"/>
          <w:color w:val="000000"/>
        </w:rPr>
        <w:t xml:space="preserve">. </w:t>
      </w:r>
      <w:proofErr w:type="gramStart"/>
      <w:r w:rsidR="00D20CAC" w:rsidRPr="00A95D2C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A95D2C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D20CAC" w:rsidRPr="00A95D2C" w:rsidRDefault="00DF2FB5" w:rsidP="005B0BB2">
      <w:pPr>
        <w:ind w:left="720" w:hanging="360"/>
        <w:jc w:val="both"/>
        <w:rPr>
          <w:rFonts w:ascii="Arial" w:hAnsi="Arial" w:cs="Arial"/>
          <w:color w:val="000000"/>
        </w:rPr>
      </w:pPr>
      <w:r w:rsidRPr="00A95D2C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A95D2C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5B0BB2" w:rsidRPr="00A95D2C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DC4F32" w:rsidRDefault="00DC4F32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A95D2C" w:rsidRDefault="00A95D2C" w:rsidP="0040615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486797" w:rsidRPr="00A95D2C" w:rsidRDefault="00A95D2C" w:rsidP="004867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П</w:t>
      </w:r>
      <w:r w:rsidR="00486797" w:rsidRPr="00A95D2C">
        <w:rPr>
          <w:rFonts w:ascii="Arial" w:hAnsi="Arial" w:cs="Arial"/>
          <w:b/>
        </w:rPr>
        <w:t>еречень мероприятий подпрограммы</w:t>
      </w:r>
      <w:r w:rsidR="00E91F49" w:rsidRPr="00A95D2C">
        <w:rPr>
          <w:rFonts w:ascii="Arial" w:hAnsi="Arial" w:cs="Arial"/>
          <w:b/>
        </w:rPr>
        <w:t xml:space="preserve"> 2 </w:t>
      </w:r>
      <w:r w:rsidR="00486797" w:rsidRPr="00A95D2C">
        <w:rPr>
          <w:rFonts w:ascii="Arial" w:hAnsi="Arial" w:cs="Arial"/>
          <w:b/>
        </w:rPr>
        <w:t>«Развитие конкуренции»</w:t>
      </w:r>
    </w:p>
    <w:p w:rsidR="00486797" w:rsidRPr="00A95D2C" w:rsidRDefault="00486797" w:rsidP="0006093E">
      <w:pPr>
        <w:rPr>
          <w:rFonts w:ascii="Arial" w:hAnsi="Arial" w:cs="Arial"/>
        </w:rPr>
      </w:pPr>
    </w:p>
    <w:tbl>
      <w:tblPr>
        <w:tblW w:w="1495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1730"/>
        <w:gridCol w:w="1417"/>
        <w:gridCol w:w="851"/>
        <w:gridCol w:w="1103"/>
        <w:gridCol w:w="924"/>
        <w:gridCol w:w="808"/>
        <w:gridCol w:w="850"/>
        <w:gridCol w:w="851"/>
        <w:gridCol w:w="850"/>
        <w:gridCol w:w="992"/>
        <w:gridCol w:w="2135"/>
        <w:gridCol w:w="1976"/>
      </w:tblGrid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№ </w:t>
            </w:r>
            <w:proofErr w:type="gramStart"/>
            <w:r w:rsidRPr="00A95D2C">
              <w:rPr>
                <w:rFonts w:ascii="Arial" w:hAnsi="Arial" w:cs="Arial"/>
              </w:rPr>
              <w:t>п</w:t>
            </w:r>
            <w:proofErr w:type="gramEnd"/>
            <w:r w:rsidRPr="00A95D2C">
              <w:rPr>
                <w:rFonts w:ascii="Arial" w:hAnsi="Arial" w:cs="Arial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Объем финансирования мероприятия в 2019 году </w:t>
            </w:r>
            <w:r w:rsidRPr="00A95D2C">
              <w:rPr>
                <w:rFonts w:ascii="Arial" w:hAnsi="Arial" w:cs="Arial"/>
              </w:rPr>
              <w:lastRenderedPageBreak/>
              <w:t>(тыс. руб.)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Всего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(тыс. руб.)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Объем финансирования по годам, тыс</w:t>
            </w:r>
            <w:proofErr w:type="gramStart"/>
            <w:r w:rsidRPr="00A95D2C">
              <w:rPr>
                <w:rFonts w:ascii="Arial" w:hAnsi="Arial" w:cs="Arial"/>
              </w:rPr>
              <w:t>.р</w:t>
            </w:r>
            <w:proofErr w:type="gramEnd"/>
            <w:r w:rsidRPr="00A95D2C">
              <w:rPr>
                <w:rFonts w:ascii="Arial" w:hAnsi="Arial" w:cs="Arial"/>
              </w:rPr>
              <w:t>уб.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A95D2C">
              <w:rPr>
                <w:rFonts w:ascii="Arial" w:hAnsi="Arial" w:cs="Arial"/>
              </w:rPr>
              <w:t>Ответственный</w:t>
            </w:r>
            <w:proofErr w:type="gramEnd"/>
            <w:r w:rsidRPr="00A95D2C">
              <w:rPr>
                <w:rFonts w:ascii="Arial" w:hAnsi="Arial" w:cs="Arial"/>
              </w:rPr>
              <w:t xml:space="preserve"> за выполнения мероприятия подпрограммы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Результат выполнения </w:t>
            </w:r>
            <w:r w:rsidR="009E1C6F" w:rsidRPr="00A95D2C">
              <w:rPr>
                <w:rFonts w:ascii="Arial" w:hAnsi="Arial" w:cs="Arial"/>
              </w:rPr>
              <w:t xml:space="preserve">мероприятия </w:t>
            </w:r>
            <w:r w:rsidRPr="00A95D2C">
              <w:rPr>
                <w:rFonts w:ascii="Arial" w:hAnsi="Arial" w:cs="Arial"/>
              </w:rPr>
              <w:t>подпрограммы</w:t>
            </w: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2024 год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91F49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11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12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49" w:rsidRPr="00A95D2C" w:rsidRDefault="00E91F49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13</w:t>
            </w: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1.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Основное мероприятие </w:t>
            </w:r>
            <w:r w:rsidR="00D05536" w:rsidRPr="00A95D2C">
              <w:rPr>
                <w:rFonts w:ascii="Arial" w:hAnsi="Arial" w:cs="Arial"/>
              </w:rPr>
              <w:t>01</w:t>
            </w:r>
          </w:p>
          <w:p w:rsidR="00E03269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«Реализация комплекса мер по развитию сферы закупок в соответствии с Федеральным законом 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№ 44-ФЗ»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Повышение активизации существующих участников рынка и  появления новых хозяйствующих субъектов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</w:t>
            </w:r>
            <w:r w:rsidR="00AE4E4D" w:rsidRPr="00A95D2C">
              <w:rPr>
                <w:rFonts w:ascii="Arial" w:hAnsi="Arial" w:cs="Arial"/>
              </w:rPr>
              <w:t>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1.1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CF775E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A95D2C">
              <w:rPr>
                <w:rFonts w:ascii="Arial" w:eastAsiaTheme="minorEastAsia" w:hAnsi="Arial" w:cs="Arial"/>
                <w:bCs/>
              </w:rPr>
              <w:t>1.1</w:t>
            </w:r>
            <w:r w:rsidR="000D4293" w:rsidRPr="00A95D2C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A95D2C">
              <w:rPr>
                <w:rFonts w:ascii="Arial" w:eastAsiaTheme="minorEastAsia" w:hAnsi="Arial" w:cs="Arial"/>
                <w:bCs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Осуществление закупок Уполномоченным органа по развитию конкуренции в муниципальном образовании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</w:t>
            </w:r>
            <w:r w:rsidRPr="00A95D2C">
              <w:rPr>
                <w:rFonts w:ascii="Arial" w:hAnsi="Arial" w:cs="Arial"/>
              </w:rPr>
              <w:lastRenderedPageBreak/>
              <w:t>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</w:t>
            </w:r>
            <w:r w:rsidR="00AE4E4D" w:rsidRPr="00A95D2C">
              <w:rPr>
                <w:rFonts w:ascii="Arial" w:hAnsi="Arial" w:cs="Arial"/>
              </w:rPr>
              <w:t>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536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</w:t>
            </w:r>
            <w:r w:rsidR="00D05536" w:rsidRPr="00A95D2C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«Развитие конкурентной среды в рамках Федерального закона № 44-ФЗ»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Увеличение доли </w:t>
            </w:r>
            <w:proofErr w:type="gramStart"/>
            <w:r w:rsidRPr="00A95D2C">
              <w:rPr>
                <w:rFonts w:ascii="Arial" w:hAnsi="Arial" w:cs="Arial"/>
              </w:rPr>
              <w:t>общей экономии денежных средств от общей суммы объявленных торгов до 7%, к концу 2024 года</w:t>
            </w:r>
            <w:proofErr w:type="gramEnd"/>
            <w:r w:rsidRPr="00A95D2C">
              <w:rPr>
                <w:rFonts w:ascii="Arial" w:hAnsi="Arial" w:cs="Arial"/>
              </w:rPr>
              <w:t>.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Снижение доли обоснованных, частично обоснованных жалоб в Федеральную антимонопольную службу (ФАС России) до </w:t>
            </w:r>
            <w:r w:rsidR="001865AB" w:rsidRPr="00A95D2C">
              <w:rPr>
                <w:rFonts w:ascii="Arial" w:hAnsi="Arial" w:cs="Arial"/>
              </w:rPr>
              <w:t>3,6</w:t>
            </w:r>
            <w:r w:rsidRPr="00A95D2C">
              <w:rPr>
                <w:rFonts w:ascii="Arial" w:hAnsi="Arial" w:cs="Arial"/>
              </w:rPr>
              <w:t xml:space="preserve"> % (от общего количества опубликованных торгов), к концу 2024года.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Снижение доли несостоявшихся торгов до </w:t>
            </w:r>
            <w:r w:rsidR="001865AB" w:rsidRPr="00A95D2C">
              <w:rPr>
                <w:rFonts w:ascii="Arial" w:hAnsi="Arial" w:cs="Arial"/>
              </w:rPr>
              <w:t>40</w:t>
            </w:r>
            <w:r w:rsidRPr="00A95D2C">
              <w:rPr>
                <w:rFonts w:ascii="Arial" w:hAnsi="Arial" w:cs="Arial"/>
              </w:rPr>
              <w:t xml:space="preserve">% (от общего количества объявленных </w:t>
            </w:r>
            <w:r w:rsidRPr="00A95D2C">
              <w:rPr>
                <w:rFonts w:ascii="Arial" w:hAnsi="Arial" w:cs="Arial"/>
              </w:rPr>
              <w:lastRenderedPageBreak/>
              <w:t>торгов), к концу 2024 года.</w:t>
            </w:r>
          </w:p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</w:t>
            </w:r>
            <w:r w:rsidR="00F24DFE" w:rsidRPr="00A95D2C">
              <w:rPr>
                <w:rFonts w:ascii="Arial" w:hAnsi="Arial" w:cs="Arial"/>
              </w:rPr>
              <w:t>35</w:t>
            </w:r>
            <w:r w:rsidRPr="00A95D2C">
              <w:rPr>
                <w:rFonts w:ascii="Arial" w:hAnsi="Arial" w:cs="Arial"/>
              </w:rPr>
              <w:t>%, к концу 2024 года.</w:t>
            </w:r>
          </w:p>
          <w:p w:rsidR="00486797" w:rsidRPr="00A95D2C" w:rsidRDefault="00486797" w:rsidP="00F24DFE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Увеличение количества участников на торгах до </w:t>
            </w:r>
            <w:r w:rsidR="00F24DFE" w:rsidRPr="00A95D2C">
              <w:rPr>
                <w:rFonts w:ascii="Arial" w:hAnsi="Arial" w:cs="Arial"/>
              </w:rPr>
              <w:t>4,5</w:t>
            </w:r>
            <w:r w:rsidRPr="00A95D2C">
              <w:rPr>
                <w:rFonts w:ascii="Arial" w:hAnsi="Arial" w:cs="Arial"/>
              </w:rPr>
              <w:t xml:space="preserve"> (количество участников в одной процедуре), к концу 2024 года.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</w:t>
            </w:r>
            <w:r w:rsidR="00AE4E4D" w:rsidRPr="00A95D2C">
              <w:rPr>
                <w:rFonts w:ascii="Arial" w:hAnsi="Arial" w:cs="Arial"/>
              </w:rPr>
              <w:t>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A95D2C">
              <w:rPr>
                <w:rFonts w:ascii="Arial" w:eastAsiaTheme="minorEastAsia" w:hAnsi="Arial" w:cs="Arial"/>
                <w:bCs/>
              </w:rPr>
              <w:t>2.1</w:t>
            </w:r>
            <w:r w:rsidR="00503858" w:rsidRPr="00A95D2C">
              <w:rPr>
                <w:rFonts w:ascii="Arial" w:eastAsiaTheme="minorEastAsia" w:hAnsi="Arial" w:cs="Arial"/>
                <w:bCs/>
              </w:rPr>
              <w:t xml:space="preserve"> </w:t>
            </w:r>
            <w:r w:rsidR="00486797" w:rsidRPr="00A95D2C">
              <w:rPr>
                <w:rFonts w:ascii="Arial" w:hAnsi="Arial" w:cs="Arial"/>
              </w:rPr>
              <w:t>Информиров</w:t>
            </w:r>
            <w:r w:rsidR="00486797" w:rsidRPr="00A95D2C">
              <w:rPr>
                <w:rFonts w:ascii="Arial" w:hAnsi="Arial" w:cs="Arial"/>
              </w:rPr>
              <w:lastRenderedPageBreak/>
              <w:t>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 xml:space="preserve">Средства бюджета </w:t>
            </w:r>
            <w:r w:rsidRPr="00A95D2C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01.01.2020-</w:t>
            </w:r>
            <w:r w:rsidRPr="00A95D2C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Управление муниципальными </w:t>
            </w:r>
            <w:r w:rsidRPr="00A95D2C">
              <w:rPr>
                <w:rFonts w:ascii="Arial" w:hAnsi="Arial" w:cs="Arial"/>
              </w:rPr>
              <w:lastRenderedPageBreak/>
              <w:t>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 xml:space="preserve">Высокий уровень </w:t>
            </w:r>
            <w:r w:rsidRPr="00A95D2C">
              <w:rPr>
                <w:rFonts w:ascii="Arial" w:hAnsi="Arial" w:cs="Arial"/>
              </w:rPr>
              <w:lastRenderedPageBreak/>
              <w:t>информированности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процедур.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486797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</w:t>
            </w:r>
            <w:r w:rsidR="00AE4E4D" w:rsidRPr="00A95D2C">
              <w:rPr>
                <w:rFonts w:ascii="Arial" w:hAnsi="Arial" w:cs="Arial"/>
              </w:rPr>
              <w:t>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7" w:rsidRPr="00A95D2C" w:rsidRDefault="00486797" w:rsidP="00E91F49">
            <w:pPr>
              <w:rPr>
                <w:rFonts w:ascii="Arial" w:hAnsi="Arial" w:cs="Arial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2.2.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A95D2C">
              <w:rPr>
                <w:rFonts w:ascii="Arial" w:eastAsiaTheme="minorEastAsia" w:hAnsi="Arial" w:cs="Arial"/>
                <w:bCs/>
              </w:rPr>
              <w:t>2.2</w:t>
            </w:r>
            <w:r w:rsidR="00503858" w:rsidRPr="00A95D2C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A95D2C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B017FA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</w:t>
            </w:r>
            <w:r w:rsidRPr="00A95D2C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E91F49">
            <w:pPr>
              <w:rPr>
                <w:rFonts w:ascii="Arial" w:hAnsi="Arial" w:cs="Arial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2.3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A95D2C">
              <w:rPr>
                <w:rFonts w:ascii="Arial" w:eastAsiaTheme="minorEastAsia" w:hAnsi="Arial" w:cs="Arial"/>
                <w:bCs/>
              </w:rPr>
              <w:t>2.3</w:t>
            </w:r>
            <w:r w:rsidR="00503858" w:rsidRPr="00A95D2C">
              <w:rPr>
                <w:rFonts w:ascii="Arial" w:eastAsiaTheme="minorEastAsia" w:hAnsi="Arial" w:cs="Arial"/>
                <w:bCs/>
              </w:rPr>
              <w:t xml:space="preserve"> </w:t>
            </w:r>
            <w:r w:rsidR="00F74EFB" w:rsidRPr="00A95D2C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B017FA" w:rsidP="00B017FA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Изучение</w:t>
            </w:r>
            <w:r w:rsidR="00F74EFB" w:rsidRPr="00A95D2C">
              <w:rPr>
                <w:rFonts w:ascii="Arial" w:hAnsi="Arial" w:cs="Arial"/>
              </w:rPr>
              <w:t xml:space="preserve"> закупочной деятельности заказчиков</w:t>
            </w: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EFB" w:rsidRPr="00A95D2C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4EF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B" w:rsidRPr="00A95D2C" w:rsidRDefault="00F74EF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2.4.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CF775E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A95D2C">
              <w:rPr>
                <w:rFonts w:ascii="Arial" w:eastAsiaTheme="minorEastAsia" w:hAnsi="Arial" w:cs="Arial"/>
                <w:bCs/>
              </w:rPr>
              <w:t>2.4</w:t>
            </w:r>
            <w:r w:rsidR="00503858" w:rsidRPr="00A95D2C">
              <w:rPr>
                <w:rFonts w:ascii="Arial" w:eastAsiaTheme="minorEastAsia" w:hAnsi="Arial" w:cs="Arial"/>
                <w:bCs/>
              </w:rPr>
              <w:t xml:space="preserve"> </w:t>
            </w:r>
            <w:r w:rsidR="00A74141" w:rsidRPr="00A95D2C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B017FA" w:rsidP="001865AB">
            <w:pPr>
              <w:rPr>
                <w:rFonts w:ascii="Arial" w:hAnsi="Arial" w:cs="Arial"/>
                <w:highlight w:val="yellow"/>
              </w:rPr>
            </w:pPr>
            <w:r w:rsidRPr="00A95D2C">
              <w:rPr>
                <w:rFonts w:ascii="Arial" w:hAnsi="Arial" w:cs="Arial"/>
              </w:rPr>
              <w:t>П</w:t>
            </w:r>
            <w:r w:rsidR="00A74141" w:rsidRPr="00A95D2C">
              <w:rPr>
                <w:rFonts w:ascii="Arial" w:hAnsi="Arial" w:cs="Arial"/>
              </w:rPr>
              <w:t>роведения совместных закупок</w:t>
            </w:r>
            <w:r w:rsidRPr="00A95D2C">
              <w:rPr>
                <w:rFonts w:ascii="Arial" w:hAnsi="Arial" w:cs="Arial"/>
              </w:rPr>
              <w:t xml:space="preserve"> для сокращения количества закупок</w:t>
            </w:r>
          </w:p>
        </w:tc>
      </w:tr>
      <w:tr w:rsidR="00A74141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</w:t>
            </w:r>
            <w:r w:rsidRPr="00A95D2C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141" w:rsidRPr="00A95D2C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A74141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41" w:rsidRPr="00A95D2C" w:rsidRDefault="00A74141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«Реализация комплекса мер по содействию развитию конкуренции»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A95D2C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A95D2C">
              <w:rPr>
                <w:rFonts w:ascii="Arial" w:hAnsi="Arial" w:cs="Arial"/>
              </w:rPr>
              <w:t xml:space="preserve"> в Московской области до </w:t>
            </w:r>
            <w:r w:rsidR="00BC0595" w:rsidRPr="00A95D2C">
              <w:rPr>
                <w:rFonts w:ascii="Arial" w:hAnsi="Arial" w:cs="Arial"/>
              </w:rPr>
              <w:t>5</w:t>
            </w:r>
            <w:r w:rsidRPr="00A95D2C">
              <w:rPr>
                <w:rFonts w:ascii="Arial" w:hAnsi="Arial" w:cs="Arial"/>
              </w:rPr>
              <w:t>, к концу 2024 года.</w:t>
            </w:r>
          </w:p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F5337E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E" w:rsidRPr="00A95D2C" w:rsidRDefault="00F5337E" w:rsidP="006F1B17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7E" w:rsidRPr="00A95D2C" w:rsidRDefault="00F5337E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F32FE3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4.1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4.1</w:t>
            </w:r>
            <w:r w:rsidR="00503858" w:rsidRPr="00A95D2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A95D2C">
              <w:rPr>
                <w:rFonts w:ascii="Arial" w:hAnsi="Arial" w:cs="Arial"/>
                <w:b w:val="0"/>
                <w:sz w:val="24"/>
                <w:szCs w:val="24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Расширение рынков</w:t>
            </w:r>
          </w:p>
        </w:tc>
      </w:tr>
      <w:tr w:rsidR="00F32FE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</w:t>
            </w:r>
            <w:r w:rsidRPr="00A95D2C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F32FE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3" w:rsidRPr="00A95D2C" w:rsidRDefault="00F32FE3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4.2.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CF775E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4.2</w:t>
            </w:r>
            <w:r w:rsidR="00503858" w:rsidRPr="00A95D2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A95D2C">
              <w:rPr>
                <w:rFonts w:ascii="Arial" w:hAnsi="Arial" w:cs="Arial"/>
                <w:b w:val="0"/>
                <w:sz w:val="24"/>
                <w:szCs w:val="24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Формирование и корректировка плана мероприятий («дорожной карты») по содействию развитию конкуренции</w:t>
            </w: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4.3.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CF775E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5D2C">
              <w:rPr>
                <w:rFonts w:ascii="Arial" w:hAnsi="Arial" w:cs="Arial"/>
                <w:b w:val="0"/>
                <w:sz w:val="24"/>
                <w:szCs w:val="24"/>
              </w:rPr>
              <w:t>4.3</w:t>
            </w:r>
            <w:r w:rsidR="00503858" w:rsidRPr="00A95D2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D640A" w:rsidRPr="00A95D2C">
              <w:rPr>
                <w:rFonts w:ascii="Arial" w:hAnsi="Arial" w:cs="Arial"/>
                <w:b w:val="0"/>
                <w:sz w:val="24"/>
                <w:szCs w:val="24"/>
              </w:rPr>
              <w:t xml:space="preserve">Проведение мониторинга состояния и развития конкурентной среды на рынках товаров, работ и услуг на территории муниципального образования </w:t>
            </w:r>
            <w:r w:rsidR="00DD640A" w:rsidRPr="00A95D2C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Московской области и анализ его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lastRenderedPageBreak/>
              <w:t>Средства бюджета Московской области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01.01.2020-31.12.2024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B017FA" w:rsidP="001865AB">
            <w:pPr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Улучшение</w:t>
            </w:r>
            <w:r w:rsidR="00D36EEB" w:rsidRPr="00A95D2C">
              <w:rPr>
                <w:rFonts w:ascii="Arial" w:hAnsi="Arial" w:cs="Arial"/>
              </w:rPr>
              <w:t xml:space="preserve"> состояния и развития конкурентной среды на рынках товаров, работ и услуг</w:t>
            </w: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4A3DCE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</w:t>
            </w:r>
            <w:r w:rsidRPr="00A95D2C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</w:tr>
      <w:tr w:rsidR="00D36EEB" w:rsidRPr="00A95D2C" w:rsidTr="00A95D2C">
        <w:trPr>
          <w:trHeight w:val="2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EB" w:rsidRPr="00A95D2C" w:rsidRDefault="00D36EEB" w:rsidP="00750AB3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ИТОГО ПО ПОДПРОГРАММЕ: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750AB3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3" w:rsidRPr="00A95D2C" w:rsidRDefault="00750AB3" w:rsidP="00E91F49">
            <w:pPr>
              <w:rPr>
                <w:rFonts w:ascii="Arial" w:hAnsi="Arial" w:cs="Arial"/>
              </w:rPr>
            </w:pPr>
          </w:p>
        </w:tc>
      </w:tr>
      <w:tr w:rsidR="000F5EAD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rPr>
                <w:rFonts w:ascii="Arial" w:hAnsi="Arial" w:cs="Arial"/>
              </w:rPr>
            </w:pPr>
          </w:p>
        </w:tc>
      </w:tr>
      <w:tr w:rsidR="000F5EAD" w:rsidRPr="00A95D2C" w:rsidTr="00A95D2C">
        <w:trPr>
          <w:trHeight w:val="20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 xml:space="preserve">Внебюджетные </w:t>
            </w:r>
            <w:proofErr w:type="gramStart"/>
            <w:r w:rsidRPr="00A95D2C">
              <w:rPr>
                <w:rFonts w:ascii="Arial" w:hAnsi="Arial" w:cs="Arial"/>
              </w:rPr>
              <w:t>ис-точники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  <w:r w:rsidRPr="00A95D2C">
              <w:rPr>
                <w:rFonts w:ascii="Arial" w:hAnsi="Arial" w:cs="Arial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AD" w:rsidRPr="00A95D2C" w:rsidRDefault="000F5EAD" w:rsidP="00E91F49">
            <w:pPr>
              <w:rPr>
                <w:rFonts w:ascii="Arial" w:hAnsi="Arial" w:cs="Arial"/>
              </w:rPr>
            </w:pPr>
          </w:p>
        </w:tc>
      </w:tr>
    </w:tbl>
    <w:p w:rsidR="0056694D" w:rsidRPr="00A95D2C" w:rsidRDefault="0056694D" w:rsidP="000A72D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lang w:eastAsia="en-US"/>
        </w:rPr>
      </w:pPr>
    </w:p>
    <w:sectPr w:rsidR="0056694D" w:rsidRPr="00A95D2C" w:rsidSect="00A95D2C">
      <w:pgSz w:w="16838" w:h="11906" w:orient="landscape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41" w:rsidRDefault="00662941" w:rsidP="002A386B">
      <w:r>
        <w:separator/>
      </w:r>
    </w:p>
  </w:endnote>
  <w:endnote w:type="continuationSeparator" w:id="0">
    <w:p w:rsidR="00662941" w:rsidRDefault="00662941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41" w:rsidRDefault="00662941" w:rsidP="002A386B">
      <w:r>
        <w:separator/>
      </w:r>
    </w:p>
  </w:footnote>
  <w:footnote w:type="continuationSeparator" w:id="0">
    <w:p w:rsidR="00662941" w:rsidRDefault="00662941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7474C"/>
    <w:multiLevelType w:val="multilevel"/>
    <w:tmpl w:val="0128B1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17"/>
  </w:num>
  <w:num w:numId="7">
    <w:abstractNumId w:val="6"/>
  </w:num>
  <w:num w:numId="8">
    <w:abstractNumId w:val="5"/>
  </w:num>
  <w:num w:numId="9">
    <w:abstractNumId w:val="18"/>
  </w:num>
  <w:num w:numId="10">
    <w:abstractNumId w:val="1"/>
  </w:num>
  <w:num w:numId="11">
    <w:abstractNumId w:val="19"/>
  </w:num>
  <w:num w:numId="12">
    <w:abstractNumId w:val="20"/>
  </w:num>
  <w:num w:numId="13">
    <w:abstractNumId w:val="25"/>
  </w:num>
  <w:num w:numId="14">
    <w:abstractNumId w:val="3"/>
  </w:num>
  <w:num w:numId="15">
    <w:abstractNumId w:val="23"/>
  </w:num>
  <w:num w:numId="16">
    <w:abstractNumId w:val="21"/>
  </w:num>
  <w:num w:numId="17">
    <w:abstractNumId w:val="11"/>
  </w:num>
  <w:num w:numId="18">
    <w:abstractNumId w:val="24"/>
  </w:num>
  <w:num w:numId="19">
    <w:abstractNumId w:val="13"/>
  </w:num>
  <w:num w:numId="20">
    <w:abstractNumId w:val="22"/>
  </w:num>
  <w:num w:numId="21">
    <w:abstractNumId w:val="14"/>
  </w:num>
  <w:num w:numId="22">
    <w:abstractNumId w:val="8"/>
  </w:num>
  <w:num w:numId="23">
    <w:abstractNumId w:val="2"/>
  </w:num>
  <w:num w:numId="24">
    <w:abstractNumId w:val="0"/>
  </w:num>
  <w:num w:numId="25">
    <w:abstractNumId w:val="16"/>
  </w:num>
  <w:num w:numId="26">
    <w:abstractNumId w:val="7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D6B"/>
    <w:rsid w:val="000201D9"/>
    <w:rsid w:val="00020B0B"/>
    <w:rsid w:val="00021186"/>
    <w:rsid w:val="000224AA"/>
    <w:rsid w:val="00023300"/>
    <w:rsid w:val="00023788"/>
    <w:rsid w:val="0002442A"/>
    <w:rsid w:val="00027D84"/>
    <w:rsid w:val="000302F5"/>
    <w:rsid w:val="0003196F"/>
    <w:rsid w:val="00032251"/>
    <w:rsid w:val="00032617"/>
    <w:rsid w:val="000327E9"/>
    <w:rsid w:val="00032B38"/>
    <w:rsid w:val="00034C25"/>
    <w:rsid w:val="00034E7A"/>
    <w:rsid w:val="0003608D"/>
    <w:rsid w:val="00037E3F"/>
    <w:rsid w:val="0004121E"/>
    <w:rsid w:val="000417B0"/>
    <w:rsid w:val="00041A5D"/>
    <w:rsid w:val="0004274B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3BB0"/>
    <w:rsid w:val="00054C89"/>
    <w:rsid w:val="0005512B"/>
    <w:rsid w:val="00055557"/>
    <w:rsid w:val="00055B18"/>
    <w:rsid w:val="00056A42"/>
    <w:rsid w:val="0006093E"/>
    <w:rsid w:val="00062D5E"/>
    <w:rsid w:val="0006600F"/>
    <w:rsid w:val="000660D9"/>
    <w:rsid w:val="00066420"/>
    <w:rsid w:val="0006729E"/>
    <w:rsid w:val="00067CC3"/>
    <w:rsid w:val="00067CF3"/>
    <w:rsid w:val="000701CE"/>
    <w:rsid w:val="00070362"/>
    <w:rsid w:val="00071497"/>
    <w:rsid w:val="000718DB"/>
    <w:rsid w:val="00072F65"/>
    <w:rsid w:val="000759EE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493D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3F3E"/>
    <w:rsid w:val="000A47C3"/>
    <w:rsid w:val="000A58AD"/>
    <w:rsid w:val="000A5A29"/>
    <w:rsid w:val="000A5A46"/>
    <w:rsid w:val="000A6931"/>
    <w:rsid w:val="000A72D1"/>
    <w:rsid w:val="000A7345"/>
    <w:rsid w:val="000B15D7"/>
    <w:rsid w:val="000B1D78"/>
    <w:rsid w:val="000B3682"/>
    <w:rsid w:val="000B37CE"/>
    <w:rsid w:val="000B37EA"/>
    <w:rsid w:val="000B4315"/>
    <w:rsid w:val="000B5299"/>
    <w:rsid w:val="000B7CFD"/>
    <w:rsid w:val="000B7DDB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2917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2A8C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0E0"/>
    <w:rsid w:val="00103175"/>
    <w:rsid w:val="0010350C"/>
    <w:rsid w:val="00104AA1"/>
    <w:rsid w:val="001053A7"/>
    <w:rsid w:val="00105E6C"/>
    <w:rsid w:val="00107C6D"/>
    <w:rsid w:val="00111ED4"/>
    <w:rsid w:val="001123BB"/>
    <w:rsid w:val="001151B0"/>
    <w:rsid w:val="00115E80"/>
    <w:rsid w:val="001170B8"/>
    <w:rsid w:val="00117144"/>
    <w:rsid w:val="0011733D"/>
    <w:rsid w:val="001178F0"/>
    <w:rsid w:val="001200E3"/>
    <w:rsid w:val="00120324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A02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12A0"/>
    <w:rsid w:val="00152D1D"/>
    <w:rsid w:val="001530A7"/>
    <w:rsid w:val="0015431E"/>
    <w:rsid w:val="00154A16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203E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2210"/>
    <w:rsid w:val="001B389A"/>
    <w:rsid w:val="001B3C1B"/>
    <w:rsid w:val="001B51BC"/>
    <w:rsid w:val="001B6685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6BD"/>
    <w:rsid w:val="001C3A5B"/>
    <w:rsid w:val="001C5573"/>
    <w:rsid w:val="001C5CFA"/>
    <w:rsid w:val="001C5F8B"/>
    <w:rsid w:val="001C6491"/>
    <w:rsid w:val="001D0BD6"/>
    <w:rsid w:val="001D2891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178E5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4200"/>
    <w:rsid w:val="00284613"/>
    <w:rsid w:val="00284720"/>
    <w:rsid w:val="002852D6"/>
    <w:rsid w:val="002864ED"/>
    <w:rsid w:val="00287370"/>
    <w:rsid w:val="0029029D"/>
    <w:rsid w:val="002905C4"/>
    <w:rsid w:val="00291D83"/>
    <w:rsid w:val="002921CD"/>
    <w:rsid w:val="00292686"/>
    <w:rsid w:val="002932CA"/>
    <w:rsid w:val="00293462"/>
    <w:rsid w:val="00294A56"/>
    <w:rsid w:val="002968EE"/>
    <w:rsid w:val="00296D3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B6D6B"/>
    <w:rsid w:val="002C07D7"/>
    <w:rsid w:val="002C07EA"/>
    <w:rsid w:val="002C1472"/>
    <w:rsid w:val="002C1A2D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6F4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0C1"/>
    <w:rsid w:val="002E447F"/>
    <w:rsid w:val="002E4945"/>
    <w:rsid w:val="002F0553"/>
    <w:rsid w:val="002F0D88"/>
    <w:rsid w:val="002F1030"/>
    <w:rsid w:val="002F25C0"/>
    <w:rsid w:val="002F2A16"/>
    <w:rsid w:val="002F3B13"/>
    <w:rsid w:val="002F41EC"/>
    <w:rsid w:val="002F4568"/>
    <w:rsid w:val="002F514E"/>
    <w:rsid w:val="002F57FE"/>
    <w:rsid w:val="002F5815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600F"/>
    <w:rsid w:val="003066C8"/>
    <w:rsid w:val="00306767"/>
    <w:rsid w:val="003078CC"/>
    <w:rsid w:val="00310610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3C87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0C9A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20D4"/>
    <w:rsid w:val="003831C4"/>
    <w:rsid w:val="00383AD1"/>
    <w:rsid w:val="00383CD3"/>
    <w:rsid w:val="00383F8F"/>
    <w:rsid w:val="00384677"/>
    <w:rsid w:val="003854BF"/>
    <w:rsid w:val="003858CE"/>
    <w:rsid w:val="0038599A"/>
    <w:rsid w:val="0038682A"/>
    <w:rsid w:val="00386B23"/>
    <w:rsid w:val="003878FF"/>
    <w:rsid w:val="00390813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0F2C"/>
    <w:rsid w:val="003A181C"/>
    <w:rsid w:val="003A2821"/>
    <w:rsid w:val="003A33B7"/>
    <w:rsid w:val="003A555A"/>
    <w:rsid w:val="003A5784"/>
    <w:rsid w:val="003A5E48"/>
    <w:rsid w:val="003A716A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3839"/>
    <w:rsid w:val="003C4657"/>
    <w:rsid w:val="003C486B"/>
    <w:rsid w:val="003C58C6"/>
    <w:rsid w:val="003C5972"/>
    <w:rsid w:val="003C5ECB"/>
    <w:rsid w:val="003C6B5E"/>
    <w:rsid w:val="003C70ED"/>
    <w:rsid w:val="003C79DF"/>
    <w:rsid w:val="003C7E0F"/>
    <w:rsid w:val="003D5611"/>
    <w:rsid w:val="003D604D"/>
    <w:rsid w:val="003D6DD7"/>
    <w:rsid w:val="003D7CDC"/>
    <w:rsid w:val="003E03D5"/>
    <w:rsid w:val="003E1AF5"/>
    <w:rsid w:val="003E2E9B"/>
    <w:rsid w:val="003E32B2"/>
    <w:rsid w:val="003E6B75"/>
    <w:rsid w:val="003E6B96"/>
    <w:rsid w:val="003E6DB7"/>
    <w:rsid w:val="003E7821"/>
    <w:rsid w:val="003F1152"/>
    <w:rsid w:val="003F19DD"/>
    <w:rsid w:val="003F1AF9"/>
    <w:rsid w:val="003F2DE7"/>
    <w:rsid w:val="003F39D0"/>
    <w:rsid w:val="003F3DAC"/>
    <w:rsid w:val="003F4B40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0B9"/>
    <w:rsid w:val="00405557"/>
    <w:rsid w:val="00406153"/>
    <w:rsid w:val="00406427"/>
    <w:rsid w:val="00406690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3EAB"/>
    <w:rsid w:val="0041568F"/>
    <w:rsid w:val="00415C6E"/>
    <w:rsid w:val="004166E0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2FB3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2C"/>
    <w:rsid w:val="00454431"/>
    <w:rsid w:val="0045578C"/>
    <w:rsid w:val="00455DCB"/>
    <w:rsid w:val="004574FB"/>
    <w:rsid w:val="004600F8"/>
    <w:rsid w:val="00460C8F"/>
    <w:rsid w:val="00461DD0"/>
    <w:rsid w:val="00462C73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77A94"/>
    <w:rsid w:val="004809C1"/>
    <w:rsid w:val="00480BFB"/>
    <w:rsid w:val="00481059"/>
    <w:rsid w:val="00481486"/>
    <w:rsid w:val="00481558"/>
    <w:rsid w:val="004819B6"/>
    <w:rsid w:val="0048381C"/>
    <w:rsid w:val="00486797"/>
    <w:rsid w:val="00487BAC"/>
    <w:rsid w:val="00490A65"/>
    <w:rsid w:val="00490DBE"/>
    <w:rsid w:val="00493C77"/>
    <w:rsid w:val="0049461F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3E6C"/>
    <w:rsid w:val="004A57BF"/>
    <w:rsid w:val="004A5E61"/>
    <w:rsid w:val="004A6619"/>
    <w:rsid w:val="004A7179"/>
    <w:rsid w:val="004A721C"/>
    <w:rsid w:val="004A7B68"/>
    <w:rsid w:val="004B06E8"/>
    <w:rsid w:val="004B11AA"/>
    <w:rsid w:val="004B2489"/>
    <w:rsid w:val="004B3455"/>
    <w:rsid w:val="004B363C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A05"/>
    <w:rsid w:val="004C3F08"/>
    <w:rsid w:val="004C43F0"/>
    <w:rsid w:val="004C7253"/>
    <w:rsid w:val="004D0204"/>
    <w:rsid w:val="004D07EE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47A"/>
    <w:rsid w:val="004E2C89"/>
    <w:rsid w:val="004E361E"/>
    <w:rsid w:val="004E4A1A"/>
    <w:rsid w:val="004E5709"/>
    <w:rsid w:val="004E6B32"/>
    <w:rsid w:val="004E71D9"/>
    <w:rsid w:val="004E7BB1"/>
    <w:rsid w:val="004F053D"/>
    <w:rsid w:val="004F09CF"/>
    <w:rsid w:val="004F1112"/>
    <w:rsid w:val="004F1D85"/>
    <w:rsid w:val="004F2FCA"/>
    <w:rsid w:val="004F381A"/>
    <w:rsid w:val="004F48C5"/>
    <w:rsid w:val="004F5343"/>
    <w:rsid w:val="004F79CB"/>
    <w:rsid w:val="005004E6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0C34"/>
    <w:rsid w:val="00530C47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4693A"/>
    <w:rsid w:val="0055012C"/>
    <w:rsid w:val="00551620"/>
    <w:rsid w:val="0055242A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1D50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BCC"/>
    <w:rsid w:val="00590C75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26BF"/>
    <w:rsid w:val="005A2AE4"/>
    <w:rsid w:val="005A36B0"/>
    <w:rsid w:val="005A3DED"/>
    <w:rsid w:val="005A44D7"/>
    <w:rsid w:val="005A5AC2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E9A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A48"/>
    <w:rsid w:val="005D19BF"/>
    <w:rsid w:val="005D2379"/>
    <w:rsid w:val="005D3235"/>
    <w:rsid w:val="005D5577"/>
    <w:rsid w:val="005E11E2"/>
    <w:rsid w:val="005E1E8F"/>
    <w:rsid w:val="005E4D5A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4B"/>
    <w:rsid w:val="005F6163"/>
    <w:rsid w:val="005F6710"/>
    <w:rsid w:val="005F6CE3"/>
    <w:rsid w:val="005F6E69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4B"/>
    <w:rsid w:val="006345D1"/>
    <w:rsid w:val="00634F3C"/>
    <w:rsid w:val="006376FA"/>
    <w:rsid w:val="00637FFE"/>
    <w:rsid w:val="0064202E"/>
    <w:rsid w:val="00642741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165D"/>
    <w:rsid w:val="00662941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2B74"/>
    <w:rsid w:val="00673485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36C4"/>
    <w:rsid w:val="00683FC8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A7205"/>
    <w:rsid w:val="006B23E4"/>
    <w:rsid w:val="006B26E6"/>
    <w:rsid w:val="006B27B8"/>
    <w:rsid w:val="006B5FAA"/>
    <w:rsid w:val="006B6C23"/>
    <w:rsid w:val="006C005E"/>
    <w:rsid w:val="006C0711"/>
    <w:rsid w:val="006C26F1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0D6F"/>
    <w:rsid w:val="006E1538"/>
    <w:rsid w:val="006E1A48"/>
    <w:rsid w:val="006E1FDC"/>
    <w:rsid w:val="006E2441"/>
    <w:rsid w:val="006E371C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348"/>
    <w:rsid w:val="00723DB1"/>
    <w:rsid w:val="0072656F"/>
    <w:rsid w:val="007265A5"/>
    <w:rsid w:val="00731629"/>
    <w:rsid w:val="007325F8"/>
    <w:rsid w:val="007329AA"/>
    <w:rsid w:val="00733307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3D19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17AE"/>
    <w:rsid w:val="00773B2E"/>
    <w:rsid w:val="00775EB8"/>
    <w:rsid w:val="00780E7A"/>
    <w:rsid w:val="00780EB7"/>
    <w:rsid w:val="00781619"/>
    <w:rsid w:val="007838C3"/>
    <w:rsid w:val="0078495C"/>
    <w:rsid w:val="00784B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1A1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4291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26E"/>
    <w:rsid w:val="007E4F74"/>
    <w:rsid w:val="007E4FA6"/>
    <w:rsid w:val="007E5829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B9E"/>
    <w:rsid w:val="00812EE0"/>
    <w:rsid w:val="0081721C"/>
    <w:rsid w:val="0081779A"/>
    <w:rsid w:val="00817D16"/>
    <w:rsid w:val="00821DE4"/>
    <w:rsid w:val="00822F79"/>
    <w:rsid w:val="00824097"/>
    <w:rsid w:val="00824C82"/>
    <w:rsid w:val="008251CE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3ED0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0C4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480C"/>
    <w:rsid w:val="008752EC"/>
    <w:rsid w:val="00876233"/>
    <w:rsid w:val="008767D9"/>
    <w:rsid w:val="008779EA"/>
    <w:rsid w:val="00877DC5"/>
    <w:rsid w:val="008804D6"/>
    <w:rsid w:val="00880F63"/>
    <w:rsid w:val="00882459"/>
    <w:rsid w:val="00883E9B"/>
    <w:rsid w:val="00885F6B"/>
    <w:rsid w:val="00885FEF"/>
    <w:rsid w:val="008860DB"/>
    <w:rsid w:val="008908BD"/>
    <w:rsid w:val="008908EC"/>
    <w:rsid w:val="00891072"/>
    <w:rsid w:val="0089147E"/>
    <w:rsid w:val="0089151D"/>
    <w:rsid w:val="00893FDC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1DC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16E45"/>
    <w:rsid w:val="009238AA"/>
    <w:rsid w:val="009239C6"/>
    <w:rsid w:val="00923AB1"/>
    <w:rsid w:val="00925200"/>
    <w:rsid w:val="00926CFF"/>
    <w:rsid w:val="00926ED2"/>
    <w:rsid w:val="0092762E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1382"/>
    <w:rsid w:val="00943BEB"/>
    <w:rsid w:val="00943C85"/>
    <w:rsid w:val="00944DFB"/>
    <w:rsid w:val="009452EC"/>
    <w:rsid w:val="00950A08"/>
    <w:rsid w:val="00950E74"/>
    <w:rsid w:val="0095321C"/>
    <w:rsid w:val="009536C4"/>
    <w:rsid w:val="00954340"/>
    <w:rsid w:val="00954610"/>
    <w:rsid w:val="00954B1A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000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453F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1C8F"/>
    <w:rsid w:val="0099271C"/>
    <w:rsid w:val="00993906"/>
    <w:rsid w:val="009968A6"/>
    <w:rsid w:val="00996BB3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C78B5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5A95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68C"/>
    <w:rsid w:val="00A11FF1"/>
    <w:rsid w:val="00A1207A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67DB"/>
    <w:rsid w:val="00A37D05"/>
    <w:rsid w:val="00A37FCF"/>
    <w:rsid w:val="00A41928"/>
    <w:rsid w:val="00A41AAF"/>
    <w:rsid w:val="00A4299F"/>
    <w:rsid w:val="00A42A6A"/>
    <w:rsid w:val="00A4407A"/>
    <w:rsid w:val="00A44EB2"/>
    <w:rsid w:val="00A46811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66404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596"/>
    <w:rsid w:val="00A85C53"/>
    <w:rsid w:val="00A86573"/>
    <w:rsid w:val="00A867F7"/>
    <w:rsid w:val="00A86E71"/>
    <w:rsid w:val="00A87987"/>
    <w:rsid w:val="00A940E9"/>
    <w:rsid w:val="00A9453F"/>
    <w:rsid w:val="00A94EBC"/>
    <w:rsid w:val="00A950BA"/>
    <w:rsid w:val="00A958F8"/>
    <w:rsid w:val="00A95D2C"/>
    <w:rsid w:val="00A9642E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0D8D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6C65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C73"/>
    <w:rsid w:val="00B25805"/>
    <w:rsid w:val="00B302E4"/>
    <w:rsid w:val="00B3072A"/>
    <w:rsid w:val="00B31866"/>
    <w:rsid w:val="00B33AAD"/>
    <w:rsid w:val="00B33B22"/>
    <w:rsid w:val="00B343E2"/>
    <w:rsid w:val="00B3509F"/>
    <w:rsid w:val="00B35339"/>
    <w:rsid w:val="00B35D93"/>
    <w:rsid w:val="00B35E29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279D"/>
    <w:rsid w:val="00B82DE5"/>
    <w:rsid w:val="00B8311D"/>
    <w:rsid w:val="00B83632"/>
    <w:rsid w:val="00B83EAE"/>
    <w:rsid w:val="00B84890"/>
    <w:rsid w:val="00B849F4"/>
    <w:rsid w:val="00B8518A"/>
    <w:rsid w:val="00B90881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EC0"/>
    <w:rsid w:val="00BB4023"/>
    <w:rsid w:val="00BB53F6"/>
    <w:rsid w:val="00BB60D2"/>
    <w:rsid w:val="00BB6549"/>
    <w:rsid w:val="00BB66D2"/>
    <w:rsid w:val="00BB6B08"/>
    <w:rsid w:val="00BB7382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C38"/>
    <w:rsid w:val="00BE4E39"/>
    <w:rsid w:val="00BE4EF6"/>
    <w:rsid w:val="00BE5A11"/>
    <w:rsid w:val="00BE71FA"/>
    <w:rsid w:val="00BF334B"/>
    <w:rsid w:val="00BF3BD3"/>
    <w:rsid w:val="00BF3EF7"/>
    <w:rsid w:val="00BF43F6"/>
    <w:rsid w:val="00BF4D23"/>
    <w:rsid w:val="00BF4E29"/>
    <w:rsid w:val="00BF6147"/>
    <w:rsid w:val="00BF6AC8"/>
    <w:rsid w:val="00BF7640"/>
    <w:rsid w:val="00C01991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7121"/>
    <w:rsid w:val="00C27153"/>
    <w:rsid w:val="00C308DB"/>
    <w:rsid w:val="00C32BE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E37"/>
    <w:rsid w:val="00C53FE7"/>
    <w:rsid w:val="00C54EC7"/>
    <w:rsid w:val="00C57AAE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8DC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7E9B"/>
    <w:rsid w:val="00CC02ED"/>
    <w:rsid w:val="00CC06EA"/>
    <w:rsid w:val="00CC07EF"/>
    <w:rsid w:val="00CC10ED"/>
    <w:rsid w:val="00CC3229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7C8B"/>
    <w:rsid w:val="00CE37A0"/>
    <w:rsid w:val="00CE3B56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B47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E96"/>
    <w:rsid w:val="00D4033C"/>
    <w:rsid w:val="00D41A68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9DB"/>
    <w:rsid w:val="00D64FBA"/>
    <w:rsid w:val="00D66222"/>
    <w:rsid w:val="00D6659B"/>
    <w:rsid w:val="00D66BBC"/>
    <w:rsid w:val="00D67D40"/>
    <w:rsid w:val="00D72080"/>
    <w:rsid w:val="00D720B8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40E"/>
    <w:rsid w:val="00D856C2"/>
    <w:rsid w:val="00D85FF8"/>
    <w:rsid w:val="00D8615D"/>
    <w:rsid w:val="00D9023F"/>
    <w:rsid w:val="00D9153F"/>
    <w:rsid w:val="00D9252F"/>
    <w:rsid w:val="00D93B98"/>
    <w:rsid w:val="00D93DB7"/>
    <w:rsid w:val="00D949CA"/>
    <w:rsid w:val="00D94A23"/>
    <w:rsid w:val="00D96CF5"/>
    <w:rsid w:val="00DA24A0"/>
    <w:rsid w:val="00DA3D07"/>
    <w:rsid w:val="00DA4140"/>
    <w:rsid w:val="00DA47F5"/>
    <w:rsid w:val="00DA78A6"/>
    <w:rsid w:val="00DA7957"/>
    <w:rsid w:val="00DA7FBB"/>
    <w:rsid w:val="00DB09A8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215"/>
    <w:rsid w:val="00DC1D9E"/>
    <w:rsid w:val="00DC1EB2"/>
    <w:rsid w:val="00DC371F"/>
    <w:rsid w:val="00DC4216"/>
    <w:rsid w:val="00DC433A"/>
    <w:rsid w:val="00DC4F32"/>
    <w:rsid w:val="00DC71C0"/>
    <w:rsid w:val="00DC7D8E"/>
    <w:rsid w:val="00DD04D4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E7D9F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0C62"/>
    <w:rsid w:val="00E00F5C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A86"/>
    <w:rsid w:val="00E36C21"/>
    <w:rsid w:val="00E407CC"/>
    <w:rsid w:val="00E41759"/>
    <w:rsid w:val="00E43289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4DE5"/>
    <w:rsid w:val="00E675FA"/>
    <w:rsid w:val="00E7124D"/>
    <w:rsid w:val="00E729DE"/>
    <w:rsid w:val="00E72A76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2865"/>
    <w:rsid w:val="00E82DC9"/>
    <w:rsid w:val="00E82F43"/>
    <w:rsid w:val="00E83AAE"/>
    <w:rsid w:val="00E84B10"/>
    <w:rsid w:val="00E84F7B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0263"/>
    <w:rsid w:val="00F011A7"/>
    <w:rsid w:val="00F01655"/>
    <w:rsid w:val="00F01A51"/>
    <w:rsid w:val="00F01B69"/>
    <w:rsid w:val="00F04CBF"/>
    <w:rsid w:val="00F0526B"/>
    <w:rsid w:val="00F05D5C"/>
    <w:rsid w:val="00F07B5C"/>
    <w:rsid w:val="00F1338C"/>
    <w:rsid w:val="00F14040"/>
    <w:rsid w:val="00F1405E"/>
    <w:rsid w:val="00F14DDB"/>
    <w:rsid w:val="00F158A2"/>
    <w:rsid w:val="00F15B69"/>
    <w:rsid w:val="00F15EAF"/>
    <w:rsid w:val="00F16B44"/>
    <w:rsid w:val="00F16B67"/>
    <w:rsid w:val="00F20AF6"/>
    <w:rsid w:val="00F21CA1"/>
    <w:rsid w:val="00F230BD"/>
    <w:rsid w:val="00F23700"/>
    <w:rsid w:val="00F23BC4"/>
    <w:rsid w:val="00F23FAD"/>
    <w:rsid w:val="00F245A3"/>
    <w:rsid w:val="00F246E0"/>
    <w:rsid w:val="00F24DFE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4C94"/>
    <w:rsid w:val="00F5645A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77B4C"/>
    <w:rsid w:val="00F8153E"/>
    <w:rsid w:val="00F81F69"/>
    <w:rsid w:val="00F81FB6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32E5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471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DB3"/>
    <w:rsid w:val="00FE38A7"/>
    <w:rsid w:val="00FE3C1D"/>
    <w:rsid w:val="00FE53B1"/>
    <w:rsid w:val="00FE5573"/>
    <w:rsid w:val="00FE6FA3"/>
    <w:rsid w:val="00FF0D50"/>
    <w:rsid w:val="00FF18CA"/>
    <w:rsid w:val="00FF2C3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D2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D2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51DD-F2C8-49B6-9736-399B63C2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12017</Words>
  <Characters>68500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2021-03-29T12:10:00Z</cp:lastPrinted>
  <dcterms:created xsi:type="dcterms:W3CDTF">2021-04-06T08:41:00Z</dcterms:created>
  <dcterms:modified xsi:type="dcterms:W3CDTF">2021-04-06T08:41:00Z</dcterms:modified>
</cp:coreProperties>
</file>