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EB1443" w:rsidRPr="00066139" w:rsidRDefault="00EB1443" w:rsidP="00B74C66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:rsidR="00EB1443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B74C66" w:rsidRDefault="00B74C66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B74C66" w:rsidRPr="00066139" w:rsidRDefault="00B74C66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EB1443" w:rsidRPr="00066139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24.03.20</w:t>
      </w:r>
      <w:r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5</w:t>
      </w: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</w:t>
      </w:r>
      <w:r w:rsidR="00B74C66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</w:t>
      </w: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 xml:space="preserve"> 855 </w:t>
      </w:r>
      <w:r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- ПА</w:t>
      </w:r>
    </w:p>
    <w:p w:rsidR="00EB1443" w:rsidRDefault="00EB1443" w:rsidP="00B74C66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0"/>
          <w:szCs w:val="20"/>
          <w:lang w:eastAsia="ru-RU"/>
        </w:rPr>
      </w:pPr>
      <w:r w:rsidRPr="00B74C66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t>г. Люберцы</w:t>
      </w:r>
    </w:p>
    <w:p w:rsidR="00B74C66" w:rsidRPr="00B74C66" w:rsidRDefault="00B74C66" w:rsidP="00B74C66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0"/>
          <w:szCs w:val="20"/>
          <w:lang w:eastAsia="ru-RU"/>
        </w:rPr>
      </w:pPr>
    </w:p>
    <w:p w:rsidR="00EB1443" w:rsidRPr="00EB1443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B1443" w:rsidRPr="00EB1443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EB1443" w:rsidRPr="00EB1443" w:rsidRDefault="00EB1443" w:rsidP="00EB1443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EB1443" w:rsidRPr="00EB1443" w:rsidRDefault="00EB1443" w:rsidP="00EB144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Pr="00EB144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решением Совета депутатов городского округа Люберцы Московской области от 04.12.2024 № 196/32 «О бюджете муниципального образования городской округ Люберцы Московской области на 2025 год и плановый период 2026 и 2027 годов»,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юберцы от 24.10.2022 </w:t>
      </w: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4263-ПА «Об утверждении Порядка разработки и реализации муниципальных программ городского округа Люберцы»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EB1443" w:rsidRPr="00EB1443" w:rsidRDefault="00EB1443" w:rsidP="00EB1443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EB1443" w:rsidRPr="00EB1443" w:rsidRDefault="00EB1443" w:rsidP="00EB1443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EB1443" w:rsidRPr="00EB1443" w:rsidRDefault="00EB1443" w:rsidP="00EB1443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 возложить </w:t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Pr="00EB1443">
        <w:rPr>
          <w:rFonts w:ascii="Arial" w:eastAsia="Calibri" w:hAnsi="Arial" w:cs="Arial"/>
          <w:sz w:val="24"/>
          <w:szCs w:val="24"/>
        </w:rPr>
        <w:t>заместителя Главы Синчука В.В.</w:t>
      </w:r>
    </w:p>
    <w:p w:rsidR="00EB1443" w:rsidRPr="00EB1443" w:rsidRDefault="00EB1443" w:rsidP="00EB1443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B1443" w:rsidRPr="00EB1443" w:rsidSect="00EB1443">
          <w:pgSz w:w="11906" w:h="16838"/>
          <w:pgMar w:top="284" w:right="709" w:bottom="568" w:left="1560" w:header="284" w:footer="0" w:gutter="0"/>
          <w:cols w:space="708"/>
          <w:docGrid w:linePitch="360"/>
        </w:sect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EB1443" w:rsidRPr="00EB1443" w:rsidRDefault="00EB1443" w:rsidP="00EB1443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EB1443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EB1443" w:rsidRPr="00EB1443" w:rsidRDefault="00EB1443" w:rsidP="00EB1443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B1443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EB1443" w:rsidRPr="00EB1443" w:rsidRDefault="00EB1443" w:rsidP="00EB1443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EB1443">
        <w:rPr>
          <w:rFonts w:ascii="Arial" w:eastAsia="Calibri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EB1443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образования </w:t>
      </w:r>
    </w:p>
    <w:p w:rsidR="00EB1443" w:rsidRPr="00EB1443" w:rsidRDefault="00EB1443" w:rsidP="00EB1443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EB1443">
        <w:rPr>
          <w:rFonts w:ascii="Arial" w:eastAsia="Calibri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EB1443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округ Люберцы</w:t>
      </w:r>
    </w:p>
    <w:p w:rsidR="00EB1443" w:rsidRPr="00EB1443" w:rsidRDefault="00EB1443" w:rsidP="00EB1443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B1443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EB1443" w:rsidRPr="00EB1443" w:rsidRDefault="00B74C66" w:rsidP="00EB1443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bookmarkStart w:id="0" w:name="_GoBack"/>
      <w:bookmarkEnd w:id="0"/>
      <w:r w:rsidR="00EB1443" w:rsidRPr="00EB1443">
        <w:rPr>
          <w:rFonts w:ascii="Arial" w:eastAsia="Calibri" w:hAnsi="Arial" w:cs="Arial"/>
          <w:bCs/>
          <w:sz w:val="24"/>
          <w:szCs w:val="24"/>
          <w:lang w:eastAsia="ru-RU"/>
        </w:rPr>
        <w:t xml:space="preserve">т </w:t>
      </w:r>
      <w:r w:rsidR="00EB1443" w:rsidRPr="00EB1443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24.03.2025  </w:t>
      </w:r>
      <w:r w:rsidR="00EB1443" w:rsidRPr="00EB1443">
        <w:rPr>
          <w:rFonts w:ascii="Arial" w:eastAsia="Calibri" w:hAnsi="Arial" w:cs="Arial"/>
          <w:bCs/>
          <w:sz w:val="24"/>
          <w:szCs w:val="24"/>
          <w:lang w:eastAsia="ru-RU"/>
        </w:rPr>
        <w:t xml:space="preserve">№ </w:t>
      </w:r>
      <w:r w:rsidR="00EB1443" w:rsidRPr="00EB1443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855 - ПА</w:t>
      </w:r>
    </w:p>
    <w:p w:rsidR="00EB1443" w:rsidRPr="00EB1443" w:rsidRDefault="00EB1443" w:rsidP="00EB14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EB1443" w:rsidRPr="00EB1443" w:rsidRDefault="00EB1443" w:rsidP="00EB1443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EB1443" w:rsidRPr="00EB1443" w:rsidRDefault="00EB1443" w:rsidP="00EB14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9"/>
        <w:gridCol w:w="1583"/>
        <w:gridCol w:w="1232"/>
        <w:gridCol w:w="1486"/>
        <w:gridCol w:w="1352"/>
        <w:gridCol w:w="1316"/>
        <w:gridCol w:w="1559"/>
      </w:tblGrid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Московской области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Синчук</w:t>
            </w:r>
            <w:proofErr w:type="spellEnd"/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2027 годы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4.  Обеспечение мероприятий по переселению граждан из аварийного жилищного фонда в Московской области, признанного таковым после 1 </w:t>
            </w:r>
            <w:r w:rsidRPr="00EB144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января 2017 года</w:t>
            </w: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528" w:type="dxa"/>
            <w:gridSpan w:val="6"/>
          </w:tcPr>
          <w:p w:rsidR="00EB1443" w:rsidRPr="00EB1443" w:rsidRDefault="00463B49" w:rsidP="00EB14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anchor="sub_1011" w:history="1">
              <w:r w:rsidR="00EB1443" w:rsidRPr="00EB144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EB1443"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EB1443" w:rsidRPr="00EB1443" w:rsidRDefault="00EB1443" w:rsidP="00EB14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</w:r>
            <w:proofErr w:type="spell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Люберцы.</w:t>
            </w:r>
          </w:p>
        </w:tc>
      </w:tr>
      <w:tr w:rsidR="00EB1443" w:rsidRPr="00EB1443" w:rsidTr="00EB1443">
        <w:trPr>
          <w:trHeight w:val="20"/>
          <w:jc w:val="center"/>
        </w:trPr>
        <w:tc>
          <w:tcPr>
            <w:tcW w:w="6209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8" w:type="dxa"/>
            <w:gridSpan w:val="6"/>
          </w:tcPr>
          <w:p w:rsidR="00EB1443" w:rsidRPr="00EB1443" w:rsidRDefault="00EB1443" w:rsidP="00EB14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EB1443" w:rsidRPr="00EB1443" w:rsidRDefault="00EB1443" w:rsidP="00EB144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EB1443" w:rsidRPr="00EB1443" w:rsidTr="00961FC5">
        <w:trPr>
          <w:trHeight w:val="267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83" w:type="dxa"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86" w:type="dxa"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52" w:type="dxa"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16" w:type="dxa"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B1443" w:rsidRPr="00EB1443" w:rsidTr="00961FC5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83" w:type="dxa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1034388,52</w:t>
            </w:r>
          </w:p>
        </w:tc>
        <w:tc>
          <w:tcPr>
            <w:tcW w:w="1232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517194,26</w:t>
            </w:r>
          </w:p>
        </w:tc>
        <w:tc>
          <w:tcPr>
            <w:tcW w:w="155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517194,26</w:t>
            </w:r>
          </w:p>
        </w:tc>
      </w:tr>
      <w:tr w:rsidR="00EB1443" w:rsidRPr="00EB1443" w:rsidTr="00961FC5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83" w:type="dxa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500312,54</w:t>
            </w:r>
          </w:p>
        </w:tc>
        <w:tc>
          <w:tcPr>
            <w:tcW w:w="1232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250156,27</w:t>
            </w:r>
          </w:p>
        </w:tc>
        <w:tc>
          <w:tcPr>
            <w:tcW w:w="155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250156,27</w:t>
            </w:r>
          </w:p>
        </w:tc>
      </w:tr>
      <w:tr w:rsidR="00EB1443" w:rsidRPr="00EB1443" w:rsidTr="00961FC5">
        <w:trPr>
          <w:trHeight w:val="20"/>
          <w:jc w:val="center"/>
        </w:trPr>
        <w:tc>
          <w:tcPr>
            <w:tcW w:w="62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83" w:type="dxa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1534701,06</w:t>
            </w:r>
          </w:p>
        </w:tc>
        <w:tc>
          <w:tcPr>
            <w:tcW w:w="1232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767350,53</w:t>
            </w:r>
          </w:p>
        </w:tc>
        <w:tc>
          <w:tcPr>
            <w:tcW w:w="155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767350,53</w:t>
            </w:r>
          </w:p>
        </w:tc>
      </w:tr>
    </w:tbl>
    <w:p w:rsidR="00EB1443" w:rsidRPr="00EB1443" w:rsidRDefault="00EB1443" w:rsidP="00EB14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предоставления уточненных сведений об аварийных многоквартирных домах разработчику Программы для ее корректировки.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15 жилых домов требующих расселения. Дома признаны аварийными до апреля 2024 года, общая площадь жилых помещений 11782,01 </w:t>
      </w:r>
      <w:proofErr w:type="spellStart"/>
      <w:r w:rsidRPr="00EB1443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EB1443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793 человека.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5 по ул. Железнодорожная,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Красково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инвестор ООО «СЗ Коренево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Девелопмент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в соответствии с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ДоКРТ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/22-23 от 30.06.2023 № 69. В соответствии с Инвестиционным проектом № 1/2-5 </w:t>
      </w: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 26.12.2016 расселение дома № 12 по ул.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Малаховская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Малаховка</w:t>
      </w:r>
      <w:proofErr w:type="spellEnd"/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инвестор </w:t>
      </w: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«Специализированный застройщик «КИТ».</w:t>
      </w:r>
      <w:r w:rsidRPr="00EB1443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EB1443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EB1443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 Люберцы осуществляет инвестор </w:t>
      </w:r>
      <w:r w:rsidRPr="00EB1443">
        <w:rPr>
          <w:rFonts w:ascii="Arial" w:hAnsi="Arial" w:cs="Arial"/>
          <w:sz w:val="24"/>
          <w:szCs w:val="24"/>
        </w:rPr>
        <w:br/>
        <w:t>ООО «БРИЗ».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EB1443" w:rsidRPr="00EB1443" w:rsidRDefault="00EB1443" w:rsidP="00EB1443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ind w:right="11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EB1443" w:rsidRPr="00EB1443" w:rsidRDefault="00EB1443" w:rsidP="00EB1443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года», </w:t>
      </w:r>
      <w:r w:rsidRPr="00EB14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EB1443" w:rsidRPr="00EB1443" w:rsidRDefault="00EB1443" w:rsidP="00EB1443">
      <w:pPr>
        <w:numPr>
          <w:ilvl w:val="0"/>
          <w:numId w:val="3"/>
        </w:numPr>
        <w:spacing w:after="0" w:line="240" w:lineRule="auto"/>
        <w:ind w:right="11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EB1443" w:rsidRPr="00EB1443" w:rsidRDefault="00EB1443" w:rsidP="00EB1443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40" w:lineRule="auto"/>
        <w:ind w:left="1080" w:right="11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EB1443" w:rsidRPr="00EB1443" w:rsidRDefault="00EB1443" w:rsidP="00EB1443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3349"/>
        <w:gridCol w:w="1300"/>
        <w:gridCol w:w="1369"/>
        <w:gridCol w:w="1038"/>
        <w:gridCol w:w="778"/>
        <w:gridCol w:w="1009"/>
        <w:gridCol w:w="851"/>
        <w:gridCol w:w="1134"/>
        <w:gridCol w:w="1134"/>
        <w:gridCol w:w="994"/>
        <w:gridCol w:w="1699"/>
      </w:tblGrid>
      <w:tr w:rsidR="00EB1443" w:rsidRPr="00EB1443" w:rsidTr="00EB1443">
        <w:trPr>
          <w:trHeight w:val="20"/>
        </w:trPr>
        <w:tc>
          <w:tcPr>
            <w:tcW w:w="513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300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6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03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06" w:type="dxa"/>
            <w:gridSpan w:val="5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99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69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443" w:rsidRPr="00EB1443" w:rsidTr="00EB1443">
        <w:trPr>
          <w:trHeight w:val="1015"/>
        </w:trPr>
        <w:tc>
          <w:tcPr>
            <w:tcW w:w="513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4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</w:tcPr>
          <w:p w:rsidR="00EB1443" w:rsidRPr="00EB1443" w:rsidRDefault="00EB1443" w:rsidP="00EB1443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EB1443">
        <w:trPr>
          <w:trHeight w:val="20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B1443" w:rsidRPr="00EB1443" w:rsidTr="00EB1443">
        <w:trPr>
          <w:trHeight w:val="328"/>
        </w:trPr>
        <w:tc>
          <w:tcPr>
            <w:tcW w:w="15168" w:type="dxa"/>
            <w:gridSpan w:val="12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4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EB1443" w:rsidRPr="00EB1443" w:rsidTr="00EB1443">
        <w:trPr>
          <w:trHeight w:val="20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36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ской области.</w:t>
            </w:r>
          </w:p>
        </w:tc>
        <w:tc>
          <w:tcPr>
            <w:tcW w:w="169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2. 02.01</w:t>
            </w:r>
          </w:p>
        </w:tc>
      </w:tr>
      <w:tr w:rsidR="00EB1443" w:rsidRPr="00EB1443" w:rsidTr="00EB1443">
        <w:trPr>
          <w:trHeight w:val="20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36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EB1443" w:rsidRPr="00EB1443" w:rsidTr="00EB1443">
        <w:trPr>
          <w:trHeight w:val="20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программ после 01.01.2017 года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EB1443" w:rsidRPr="00EB1443" w:rsidTr="00EB1443">
        <w:trPr>
          <w:trHeight w:val="20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4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EB1443" w:rsidRPr="00EB1443" w:rsidTr="00EB1443">
        <w:trPr>
          <w:trHeight w:val="1614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443" w:rsidRPr="00EB1443" w:rsidRDefault="00EB1443" w:rsidP="00EB14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EB14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43" w:rsidRPr="00EB1443" w:rsidRDefault="00EB1443" w:rsidP="00EB144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5,891005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5,891005</w:t>
            </w:r>
          </w:p>
        </w:tc>
        <w:tc>
          <w:tcPr>
            <w:tcW w:w="99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  <w:tr w:rsidR="00EB1443" w:rsidRPr="00EB1443" w:rsidTr="00EB1443">
        <w:trPr>
          <w:trHeight w:val="2145"/>
        </w:trPr>
        <w:tc>
          <w:tcPr>
            <w:tcW w:w="51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443" w:rsidRPr="00EB1443" w:rsidRDefault="00EB1443" w:rsidP="00EB144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B14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30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43" w:rsidRPr="00EB1443" w:rsidRDefault="00EB1443" w:rsidP="00EB144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03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0,3965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0,3965</w:t>
            </w:r>
          </w:p>
        </w:tc>
        <w:tc>
          <w:tcPr>
            <w:tcW w:w="99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</w:tbl>
    <w:p w:rsidR="00EB1443" w:rsidRPr="00EB1443" w:rsidRDefault="00EB1443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Default="00EB1443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Pr="00EB1443" w:rsidRDefault="00AA153F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EB1443" w:rsidRPr="00EB1443" w:rsidRDefault="00EB1443" w:rsidP="00EB1443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B1443" w:rsidRPr="00EB1443" w:rsidRDefault="00EB1443" w:rsidP="00EB1443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9214"/>
      </w:tblGrid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51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214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B1443" w:rsidRPr="00EB1443" w:rsidTr="00EB1443">
        <w:trPr>
          <w:trHeight w:val="141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551" w:type="dxa"/>
            <w:vMerge w:val="restart"/>
            <w:vAlign w:val="center"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  <w:tc>
          <w:tcPr>
            <w:tcW w:w="9214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EB1443" w:rsidRPr="00EB1443" w:rsidTr="00EB1443">
        <w:trPr>
          <w:trHeight w:val="18"/>
        </w:trPr>
        <w:tc>
          <w:tcPr>
            <w:tcW w:w="562" w:type="dxa"/>
          </w:tcPr>
          <w:p w:rsidR="00EB1443" w:rsidRPr="00EB1443" w:rsidRDefault="00EB1443" w:rsidP="00EB144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B1443" w:rsidRPr="00EB1443" w:rsidRDefault="00EB1443" w:rsidP="00EB1443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</w:tbl>
    <w:p w:rsidR="00EB1443" w:rsidRPr="00EB1443" w:rsidRDefault="00EB1443" w:rsidP="00EB144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spacing w:after="0" w:line="240" w:lineRule="auto"/>
        <w:ind w:left="720" w:right="11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EB1443" w:rsidRPr="00EB1443" w:rsidRDefault="00EB1443" w:rsidP="00EB1443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370"/>
        <w:gridCol w:w="1478"/>
        <w:gridCol w:w="4395"/>
        <w:gridCol w:w="2693"/>
        <w:gridCol w:w="2126"/>
      </w:tblGrid>
      <w:tr w:rsidR="00EB1443" w:rsidRPr="00EB1443" w:rsidTr="00EB1443">
        <w:trPr>
          <w:trHeight w:val="681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8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EB1443" w:rsidRPr="00EB1443" w:rsidTr="00EB1443">
        <w:trPr>
          <w:trHeight w:val="165"/>
        </w:trPr>
        <w:tc>
          <w:tcPr>
            <w:tcW w:w="822" w:type="dxa"/>
            <w:vAlign w:val="center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B1443" w:rsidRPr="00EB1443" w:rsidTr="00EB1443">
        <w:trPr>
          <w:trHeight w:val="370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39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1443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B1443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B1443" w:rsidRPr="00EB1443" w:rsidTr="00EB1443">
        <w:trPr>
          <w:trHeight w:val="1221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395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1443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B1443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B1443" w:rsidRPr="00EB1443" w:rsidTr="00EB1443">
        <w:trPr>
          <w:trHeight w:val="1221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395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Базовое значение за 2023 год - 0,3479 тысяч квадратных метров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1443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B1443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B1443" w:rsidRPr="00EB1443" w:rsidTr="00EB1443">
        <w:trPr>
          <w:trHeight w:val="1221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аварийного жилищного фонда, за счет </w:t>
            </w:r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программ после 01.01.2017 года</w:t>
            </w:r>
          </w:p>
        </w:tc>
        <w:tc>
          <w:tcPr>
            <w:tcW w:w="1478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>Тысяча человек</w:t>
            </w:r>
          </w:p>
        </w:tc>
        <w:tc>
          <w:tcPr>
            <w:tcW w:w="4395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</w:t>
            </w:r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программ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Базовое значение за 2023 год - 0,023 тысяч человек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жилищной политики администрации городского округа </w:t>
            </w:r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области.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  <w:proofErr w:type="gramEnd"/>
            <w:r w:rsidRPr="00EB1443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B1443" w:rsidRPr="00EB1443" w:rsidTr="00EB1443">
        <w:trPr>
          <w:trHeight w:val="1221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EB1443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EB1443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Базовое значение за 2023 год - 0,00 тысяч квадратных метров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1443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B1443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B1443" w:rsidRPr="00EB1443" w:rsidTr="00EB1443">
        <w:trPr>
          <w:trHeight w:val="1221"/>
        </w:trPr>
        <w:tc>
          <w:tcPr>
            <w:tcW w:w="822" w:type="dxa"/>
          </w:tcPr>
          <w:p w:rsidR="00EB1443" w:rsidRPr="00EB1443" w:rsidRDefault="00EB1443" w:rsidP="00EB14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B1443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EB1443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443" w:rsidRPr="00EB1443" w:rsidRDefault="00EB1443" w:rsidP="00EB14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Базовое значение за 2023 год - 0,00 тысяч человек</w:t>
            </w:r>
          </w:p>
        </w:tc>
        <w:tc>
          <w:tcPr>
            <w:tcW w:w="2693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1443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B1443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EB1443" w:rsidRPr="00EB1443" w:rsidRDefault="00EB1443" w:rsidP="00EB1443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Default="00EB1443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153F" w:rsidRPr="00EB1443" w:rsidRDefault="00AA153F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B1443" w:rsidRPr="00EB1443" w:rsidRDefault="00EB1443" w:rsidP="00AA153F">
      <w:pPr>
        <w:widowControl w:val="0"/>
        <w:autoSpaceDE w:val="0"/>
        <w:autoSpaceDN w:val="0"/>
        <w:adjustRightInd w:val="0"/>
        <w:spacing w:after="0" w:line="240" w:lineRule="auto"/>
        <w:ind w:left="2832" w:right="394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AA15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EB144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B1443" w:rsidRPr="00EB1443" w:rsidRDefault="00EB1443" w:rsidP="00EB1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565"/>
      </w:tblGrid>
      <w:tr w:rsidR="00EB1443" w:rsidRPr="00EB1443" w:rsidTr="00EB1443">
        <w:tc>
          <w:tcPr>
            <w:tcW w:w="81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EB1443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65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EB1443" w:rsidRPr="00EB1443" w:rsidTr="00EB1443">
        <w:tc>
          <w:tcPr>
            <w:tcW w:w="81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EB1443" w:rsidRPr="00EB1443" w:rsidTr="00EB1443">
        <w:tc>
          <w:tcPr>
            <w:tcW w:w="81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EB1443" w:rsidRPr="00EB1443" w:rsidRDefault="00EB1443" w:rsidP="00EB144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65" w:type="dxa"/>
          </w:tcPr>
          <w:p w:rsidR="00EB1443" w:rsidRPr="00EB1443" w:rsidRDefault="00EB1443" w:rsidP="00EB144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EB1443" w:rsidRPr="00EB1443" w:rsidRDefault="00EB1443" w:rsidP="00EB144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  <w:tr w:rsidR="00EB1443" w:rsidRPr="00EB1443" w:rsidTr="00EB1443">
        <w:tc>
          <w:tcPr>
            <w:tcW w:w="81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EB1443" w:rsidRPr="00EB1443" w:rsidRDefault="00EB1443" w:rsidP="00EB144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EB1443" w:rsidRPr="00EB1443" w:rsidRDefault="00EB1443" w:rsidP="00EB14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565" w:type="dxa"/>
          </w:tcPr>
          <w:p w:rsidR="00EB1443" w:rsidRPr="00EB1443" w:rsidRDefault="00EB1443" w:rsidP="00EB144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EB1443" w:rsidRPr="00EB1443" w:rsidRDefault="00EB1443" w:rsidP="00EB144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2023 год -0,023</w:t>
            </w:r>
          </w:p>
        </w:tc>
      </w:tr>
    </w:tbl>
    <w:p w:rsidR="00EB1443" w:rsidRPr="00EB1443" w:rsidRDefault="00EB1443" w:rsidP="00EB1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B1443" w:rsidRPr="00EB1443" w:rsidSect="00EB1443">
          <w:footerReference w:type="default" r:id="rId8"/>
          <w:pgSz w:w="16838" w:h="11906" w:orient="landscape"/>
          <w:pgMar w:top="567" w:right="567" w:bottom="284" w:left="1276" w:header="227" w:footer="0" w:gutter="340"/>
          <w:cols w:space="720"/>
          <w:noEndnote/>
          <w:docGrid w:linePitch="299"/>
        </w:sectPr>
      </w:pPr>
    </w:p>
    <w:p w:rsidR="00EB1443" w:rsidRPr="00EB1443" w:rsidRDefault="00EB1443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EB1443" w:rsidRPr="00EB1443" w:rsidRDefault="00AA153F" w:rsidP="00AA153F">
      <w:pPr>
        <w:spacing w:after="0" w:line="240" w:lineRule="auto"/>
        <w:ind w:left="10348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к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муниципальной программе </w:t>
      </w:r>
      <w:r w:rsidR="00EB1443" w:rsidRPr="00EB1443">
        <w:rPr>
          <w:rFonts w:ascii="Arial" w:eastAsia="Times New Roman" w:hAnsi="Arial" w:cs="Arial"/>
          <w:sz w:val="24"/>
          <w:szCs w:val="24"/>
        </w:rPr>
        <w:t>городского округа Люберцы Московской области</w:t>
      </w:r>
    </w:p>
    <w:p w:rsidR="00EB1443" w:rsidRPr="00EB1443" w:rsidRDefault="00EB1443" w:rsidP="00AA153F">
      <w:pPr>
        <w:tabs>
          <w:tab w:val="left" w:pos="10773"/>
        </w:tabs>
        <w:spacing w:after="0" w:line="240" w:lineRule="auto"/>
        <w:ind w:left="10773" w:hanging="141"/>
        <w:jc w:val="right"/>
        <w:rPr>
          <w:rFonts w:ascii="Arial" w:eastAsia="Times New Roman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EB1443" w:rsidRPr="00EB1443" w:rsidRDefault="00EB1443" w:rsidP="00EB1443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EB1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92"/>
        <w:gridCol w:w="1768"/>
        <w:gridCol w:w="784"/>
        <w:gridCol w:w="708"/>
        <w:gridCol w:w="567"/>
        <w:gridCol w:w="709"/>
        <w:gridCol w:w="851"/>
        <w:gridCol w:w="1134"/>
        <w:gridCol w:w="850"/>
        <w:gridCol w:w="918"/>
        <w:gridCol w:w="708"/>
        <w:gridCol w:w="709"/>
        <w:gridCol w:w="1634"/>
      </w:tblGrid>
      <w:tr w:rsidR="00EB1443" w:rsidRPr="00EB1443" w:rsidTr="00957AE6">
        <w:trPr>
          <w:trHeight w:val="20"/>
        </w:trPr>
        <w:tc>
          <w:tcPr>
            <w:tcW w:w="48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92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6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8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154" w:type="dxa"/>
            <w:gridSpan w:val="9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492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B14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фонда, признанного таковым после 01.01.2017, в рамках второй подпрограммы</w:t>
            </w:r>
          </w:p>
        </w:tc>
        <w:tc>
          <w:tcPr>
            <w:tcW w:w="1492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–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городского округа Люберцы Московской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области.</w:t>
            </w: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492" w:type="dxa"/>
            <w:vMerge w:val="restart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768" w:type="dxa"/>
            <w:vMerge w:val="restart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8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753" w:type="dxa"/>
            <w:gridSpan w:val="4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315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91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gridSpan w:val="2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EB1443" w:rsidRPr="00EB1443" w:rsidRDefault="00EB1443" w:rsidP="00EB1443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gridSpan w:val="2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57AE6">
        <w:trPr>
          <w:trHeight w:val="20"/>
        </w:trPr>
        <w:tc>
          <w:tcPr>
            <w:tcW w:w="48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gridSpan w:val="2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B1443" w:rsidRDefault="00EB1443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EB1443">
        <w:rPr>
          <w:rFonts w:ascii="Arial" w:eastAsia="Calibri" w:hAnsi="Arial" w:cs="Arial"/>
          <w:bCs/>
          <w:sz w:val="24"/>
          <w:szCs w:val="24"/>
        </w:rPr>
        <w:t>«</w:t>
      </w:r>
      <w:r w:rsidRPr="00EB1443">
        <w:rPr>
          <w:rFonts w:ascii="Arial" w:eastAsia="Calibri" w:hAnsi="Arial" w:cs="Arial"/>
          <w:b/>
          <w:bCs/>
          <w:sz w:val="24"/>
          <w:szCs w:val="24"/>
        </w:rPr>
        <w:t xml:space="preserve">Обеспечение мероприятий по переселению граждан из аварийного жилищного фонда в Московской области» 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EB1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2941"/>
        <w:gridCol w:w="11474"/>
      </w:tblGrid>
      <w:tr w:rsidR="00EB1443" w:rsidRPr="00EB1443" w:rsidTr="00EB144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B14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B1443" w:rsidRPr="00EB1443" w:rsidTr="00EB1443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EB1443">
        <w:trPr>
          <w:trHeight w:val="20"/>
        </w:trPr>
        <w:tc>
          <w:tcPr>
            <w:tcW w:w="202" w:type="pc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B1443" w:rsidRPr="00EB1443" w:rsidTr="00EB1443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</w:tr>
    </w:tbl>
    <w:p w:rsidR="00EB1443" w:rsidRPr="00EB1443" w:rsidRDefault="00EB1443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EB1443">
      <w:pPr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57AE6" w:rsidRDefault="00957AE6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957AE6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957AE6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EB1443" w:rsidRPr="00EB1443" w:rsidRDefault="00EB1443" w:rsidP="00957AE6">
      <w:pPr>
        <w:spacing w:after="0" w:line="240" w:lineRule="auto"/>
        <w:ind w:left="10348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EB1443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EB1443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EB1443" w:rsidRPr="00EB1443" w:rsidRDefault="00EB1443" w:rsidP="00957AE6">
      <w:pPr>
        <w:tabs>
          <w:tab w:val="left" w:pos="11152"/>
        </w:tabs>
        <w:spacing w:after="0" w:line="240" w:lineRule="auto"/>
        <w:ind w:left="10490"/>
        <w:jc w:val="right"/>
        <w:rPr>
          <w:rFonts w:ascii="Arial" w:eastAsia="Times New Roman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EB1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323"/>
        <w:gridCol w:w="1278"/>
        <w:gridCol w:w="1416"/>
        <w:gridCol w:w="1419"/>
        <w:gridCol w:w="567"/>
        <w:gridCol w:w="709"/>
        <w:gridCol w:w="709"/>
        <w:gridCol w:w="708"/>
        <w:gridCol w:w="709"/>
        <w:gridCol w:w="709"/>
        <w:gridCol w:w="709"/>
        <w:gridCol w:w="1275"/>
        <w:gridCol w:w="1276"/>
        <w:gridCol w:w="1134"/>
      </w:tblGrid>
      <w:tr w:rsidR="00EB1443" w:rsidRPr="00EB1443" w:rsidTr="00961FC5">
        <w:trPr>
          <w:trHeight w:val="20"/>
        </w:trPr>
        <w:tc>
          <w:tcPr>
            <w:tcW w:w="505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71" w:type="dxa"/>
            <w:gridSpan w:val="9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134"/>
        </w:trPr>
        <w:tc>
          <w:tcPr>
            <w:tcW w:w="505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B1443" w:rsidRPr="00EB1443" w:rsidTr="00961FC5">
        <w:trPr>
          <w:trHeight w:val="873"/>
        </w:trPr>
        <w:tc>
          <w:tcPr>
            <w:tcW w:w="505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27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1034388,52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517194,26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517194,26</w:t>
            </w:r>
          </w:p>
        </w:tc>
        <w:tc>
          <w:tcPr>
            <w:tcW w:w="113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500312,54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250156,27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250156,27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1534701,06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767350,53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767350,53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3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Обеспечение мероприятий по переселению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 из аварийного жилищного фонда, признанного таковым после 1 января 2017 года</w:t>
            </w:r>
          </w:p>
        </w:tc>
        <w:tc>
          <w:tcPr>
            <w:tcW w:w="127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 –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1034388,52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517194,26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517194,26</w:t>
            </w:r>
          </w:p>
        </w:tc>
        <w:tc>
          <w:tcPr>
            <w:tcW w:w="1134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</w:t>
            </w: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политики администрации городского округа Люберцы Московской области.</w:t>
            </w: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500312,54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250156,27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250156,27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1534701,06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767350,53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767350,53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354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78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416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41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5" w:type="dxa"/>
            <w:gridSpan w:val="4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:rsidR="00EB1443" w:rsidRPr="00EB1443" w:rsidRDefault="00EB1443" w:rsidP="00EB1443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354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0,793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0,3965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</w:rPr>
              <w:t>0,3965</w:t>
            </w:r>
          </w:p>
        </w:tc>
        <w:tc>
          <w:tcPr>
            <w:tcW w:w="1134" w:type="dxa"/>
            <w:vMerge/>
            <w:vAlign w:val="center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gridSpan w:val="2"/>
            <w:vMerge w:val="restart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1534701,06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767350,53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767350,53</w:t>
            </w:r>
          </w:p>
        </w:tc>
        <w:tc>
          <w:tcPr>
            <w:tcW w:w="1134" w:type="dxa"/>
            <w:vMerge w:val="restart"/>
          </w:tcPr>
          <w:p w:rsidR="00EB1443" w:rsidRPr="00EB1443" w:rsidRDefault="00EB1443" w:rsidP="00EB1443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gridSpan w:val="2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1034388,52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517194,26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517194,26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0"/>
        </w:trPr>
        <w:tc>
          <w:tcPr>
            <w:tcW w:w="505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gridSpan w:val="2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9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500312,54</w:t>
            </w:r>
          </w:p>
        </w:tc>
        <w:tc>
          <w:tcPr>
            <w:tcW w:w="567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250156,27</w:t>
            </w:r>
          </w:p>
        </w:tc>
        <w:tc>
          <w:tcPr>
            <w:tcW w:w="1276" w:type="dxa"/>
          </w:tcPr>
          <w:p w:rsidR="00EB1443" w:rsidRPr="00EB1443" w:rsidRDefault="00EB1443" w:rsidP="00EB1443">
            <w:pPr>
              <w:rPr>
                <w:rFonts w:ascii="Arial" w:hAnsi="Arial" w:cs="Arial"/>
                <w:sz w:val="24"/>
                <w:szCs w:val="24"/>
              </w:rPr>
            </w:pPr>
            <w:r w:rsidRPr="00EB1443">
              <w:rPr>
                <w:rFonts w:ascii="Arial" w:hAnsi="Arial" w:cs="Arial"/>
                <w:sz w:val="24"/>
                <w:szCs w:val="24"/>
              </w:rPr>
              <w:t>250156,27</w:t>
            </w:r>
          </w:p>
        </w:tc>
        <w:tc>
          <w:tcPr>
            <w:tcW w:w="1134" w:type="dxa"/>
            <w:vMerge/>
          </w:tcPr>
          <w:p w:rsidR="00EB1443" w:rsidRPr="00EB1443" w:rsidRDefault="00EB1443" w:rsidP="00EB1443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B1443" w:rsidRPr="00EB1443" w:rsidRDefault="00EB1443" w:rsidP="00EB1443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EB1443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EB144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EB1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  <w:r w:rsidRPr="00EB14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1443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EB1443" w:rsidRPr="00EB1443" w:rsidRDefault="00EB1443" w:rsidP="00EB14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7051"/>
        <w:gridCol w:w="7518"/>
      </w:tblGrid>
      <w:tr w:rsidR="00EB1443" w:rsidRPr="00EB1443" w:rsidTr="00EB1443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vAlign w:val="center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B144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9" w:type="pct"/>
            <w:vMerge w:val="restar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B1443" w:rsidRPr="00EB1443" w:rsidTr="00EB1443">
        <w:trPr>
          <w:trHeight w:val="322"/>
        </w:trPr>
        <w:tc>
          <w:tcPr>
            <w:tcW w:w="196" w:type="pct"/>
            <w:vMerge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vMerge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9" w:type="pct"/>
            <w:vMerge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EB1443">
        <w:trPr>
          <w:trHeight w:val="20"/>
        </w:trPr>
        <w:tc>
          <w:tcPr>
            <w:tcW w:w="196" w:type="pc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vAlign w:val="center"/>
            <w:hideMark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B1443" w:rsidRPr="00EB1443" w:rsidTr="00EB1443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79" w:type="pct"/>
            <w:shd w:val="clear" w:color="auto" w:fill="auto"/>
          </w:tcPr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1443" w:rsidRPr="00EB1443" w:rsidRDefault="00EB1443" w:rsidP="00EB14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</w:tr>
    </w:tbl>
    <w:p w:rsidR="00EB1443" w:rsidRPr="00EB1443" w:rsidRDefault="00EB1443" w:rsidP="00EB1443">
      <w:pPr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rPr>
          <w:rFonts w:ascii="Arial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61FC5" w:rsidRDefault="00961FC5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B1443" w:rsidRPr="00EB1443" w:rsidRDefault="00EB1443" w:rsidP="00EB1443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</w:rPr>
        <w:t xml:space="preserve">Приложение №3 </w:t>
      </w:r>
    </w:p>
    <w:p w:rsidR="00EB1443" w:rsidRPr="00EB1443" w:rsidRDefault="00EB1443" w:rsidP="00961FC5">
      <w:pPr>
        <w:spacing w:after="0" w:line="240" w:lineRule="auto"/>
        <w:ind w:left="10206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EB1443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EB1443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EB1443" w:rsidRPr="00EB1443" w:rsidRDefault="00EB1443" w:rsidP="00961FC5">
      <w:pPr>
        <w:tabs>
          <w:tab w:val="left" w:pos="11152"/>
        </w:tabs>
        <w:spacing w:after="0" w:line="240" w:lineRule="auto"/>
        <w:ind w:left="10348"/>
        <w:jc w:val="right"/>
        <w:rPr>
          <w:rFonts w:ascii="Arial" w:eastAsia="Times New Roman" w:hAnsi="Arial" w:cs="Arial"/>
          <w:sz w:val="24"/>
          <w:szCs w:val="24"/>
        </w:rPr>
      </w:pPr>
      <w:r w:rsidRPr="00EB1443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EB1443" w:rsidRPr="00EB1443" w:rsidRDefault="00EB1443" w:rsidP="00EB1443">
      <w:pPr>
        <w:jc w:val="center"/>
        <w:rPr>
          <w:rFonts w:ascii="Arial" w:hAnsi="Arial" w:cs="Arial"/>
          <w:sz w:val="24"/>
          <w:szCs w:val="24"/>
        </w:rPr>
      </w:pPr>
      <w:r w:rsidRPr="00EB1443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:rsidR="00EB1443" w:rsidRPr="00EB1443" w:rsidRDefault="00EB1443" w:rsidP="00EB1443">
      <w:pPr>
        <w:jc w:val="right"/>
        <w:rPr>
          <w:rFonts w:ascii="Arial" w:hAnsi="Arial" w:cs="Arial"/>
          <w:sz w:val="24"/>
          <w:szCs w:val="24"/>
        </w:rPr>
      </w:pPr>
      <w:r w:rsidRPr="00EB1443">
        <w:rPr>
          <w:rFonts w:ascii="Arial" w:hAnsi="Arial" w:cs="Arial"/>
          <w:sz w:val="24"/>
          <w:szCs w:val="24"/>
        </w:rPr>
        <w:t>Таблица 1</w:t>
      </w:r>
    </w:p>
    <w:tbl>
      <w:tblPr>
        <w:tblW w:w="14971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2"/>
        <w:gridCol w:w="1937"/>
        <w:gridCol w:w="1099"/>
        <w:gridCol w:w="1217"/>
        <w:gridCol w:w="1019"/>
        <w:gridCol w:w="1193"/>
        <w:gridCol w:w="958"/>
        <w:gridCol w:w="941"/>
        <w:gridCol w:w="708"/>
        <w:gridCol w:w="1276"/>
        <w:gridCol w:w="1276"/>
        <w:gridCol w:w="1417"/>
        <w:gridCol w:w="1418"/>
      </w:tblGrid>
      <w:tr w:rsidR="00EB1443" w:rsidRPr="00EB1443" w:rsidTr="00961FC5">
        <w:trPr>
          <w:trHeight w:val="3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Планируемая </w:t>
            </w: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 окончания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переселения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Планируемая дата сноса / реконструкции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Расселяемая площадь жилых помещений</w:t>
            </w:r>
          </w:p>
        </w:tc>
      </w:tr>
      <w:tr w:rsidR="00EB1443" w:rsidRPr="00EB1443" w:rsidTr="00961FC5">
        <w:trPr>
          <w:trHeight w:val="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EB1443" w:rsidRPr="00EB1443" w:rsidTr="00961FC5">
        <w:trPr>
          <w:trHeight w:val="27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27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1443" w:rsidRPr="00EB1443" w:rsidTr="00961FC5">
        <w:trPr>
          <w:trHeight w:val="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EB1443" w:rsidRPr="00EB1443" w:rsidTr="00961FC5">
        <w:trPr>
          <w:trHeight w:val="2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B1443" w:rsidRPr="00EB1443" w:rsidTr="00961FC5">
        <w:trPr>
          <w:trHeight w:val="257"/>
        </w:trPr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городскому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11 782,01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11 782,01</w:t>
            </w:r>
          </w:p>
        </w:tc>
      </w:tr>
      <w:tr w:rsidR="00EB1443" w:rsidRPr="00EB1443" w:rsidTr="00961FC5">
        <w:trPr>
          <w:trHeight w:val="44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EB1443" w:rsidRPr="00EB1443" w:rsidTr="00961FC5">
        <w:trPr>
          <w:trHeight w:val="1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EB1443" w:rsidRPr="00EB1443" w:rsidTr="00961FC5">
        <w:trPr>
          <w:trHeight w:val="2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EB1443" w:rsidRPr="00EB1443" w:rsidTr="00961FC5">
        <w:trPr>
          <w:trHeight w:val="18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EB1443" w:rsidRPr="00EB1443" w:rsidTr="00961FC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8 Марта, д. 63, к.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140,39</w:t>
            </w:r>
          </w:p>
        </w:tc>
      </w:tr>
      <w:tr w:rsidR="00EB1443" w:rsidRPr="00EB1443" w:rsidTr="00961FC5">
        <w:trPr>
          <w:trHeight w:val="40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Кожуховская, д. 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318,79</w:t>
            </w:r>
          </w:p>
        </w:tc>
      </w:tr>
      <w:tr w:rsidR="00EB1443" w:rsidRPr="00EB1443" w:rsidTr="00961FC5">
        <w:trPr>
          <w:trHeight w:val="9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59,75</w:t>
            </w:r>
          </w:p>
        </w:tc>
      </w:tr>
      <w:tr w:rsidR="00EB1443" w:rsidRPr="00EB1443" w:rsidTr="00961FC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205,70</w:t>
            </w:r>
          </w:p>
        </w:tc>
      </w:tr>
      <w:tr w:rsidR="00EB1443" w:rsidRPr="00EB1443" w:rsidTr="00961FC5">
        <w:trPr>
          <w:trHeight w:val="1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95,50</w:t>
            </w:r>
          </w:p>
        </w:tc>
      </w:tr>
      <w:tr w:rsidR="00EB1443" w:rsidRPr="00EB1443" w:rsidTr="00961FC5">
        <w:trPr>
          <w:trHeight w:val="97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140,40</w:t>
            </w:r>
          </w:p>
        </w:tc>
      </w:tr>
      <w:tr w:rsidR="00EB1443" w:rsidRPr="00EB1443" w:rsidTr="00961FC5">
        <w:trPr>
          <w:trHeight w:val="28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Ленина, д. 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4697-ПА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207,40</w:t>
            </w:r>
          </w:p>
        </w:tc>
      </w:tr>
      <w:tr w:rsidR="00EB1443" w:rsidRPr="00EB1443" w:rsidTr="00961FC5">
        <w:trPr>
          <w:trHeight w:val="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п. Малаховка, ул. Малаховская, д. 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EB1443" w:rsidRPr="00EB1443" w:rsidTr="00961FC5">
        <w:trPr>
          <w:trHeight w:val="5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Лесная,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EB1443" w:rsidRPr="00EB1443" w:rsidTr="00961FC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Советская, д.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EB1443" w:rsidRPr="00EB1443" w:rsidTr="00961FC5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Фабричная,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1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</w:tbl>
    <w:p w:rsidR="00EB1443" w:rsidRPr="00EB1443" w:rsidRDefault="00EB1443" w:rsidP="00EB1443">
      <w:pPr>
        <w:jc w:val="center"/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jc w:val="center"/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jc w:val="center"/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jc w:val="center"/>
        <w:rPr>
          <w:rFonts w:ascii="Arial" w:hAnsi="Arial" w:cs="Arial"/>
          <w:sz w:val="24"/>
          <w:szCs w:val="24"/>
        </w:rPr>
      </w:pPr>
    </w:p>
    <w:p w:rsidR="00EB1443" w:rsidRPr="00EB1443" w:rsidRDefault="00EB1443" w:rsidP="00EB1443">
      <w:pPr>
        <w:rPr>
          <w:rFonts w:ascii="Arial" w:hAnsi="Arial" w:cs="Arial"/>
          <w:sz w:val="24"/>
          <w:szCs w:val="24"/>
        </w:rPr>
      </w:pPr>
    </w:p>
    <w:p w:rsidR="00F65EA6" w:rsidRPr="00EB1443" w:rsidRDefault="00F65EA6" w:rsidP="00EB1443">
      <w:pPr>
        <w:ind w:firstLine="708"/>
        <w:rPr>
          <w:rFonts w:ascii="Arial" w:hAnsi="Arial" w:cs="Arial"/>
          <w:sz w:val="24"/>
          <w:szCs w:val="24"/>
        </w:rPr>
      </w:pPr>
    </w:p>
    <w:sectPr w:rsidR="00F65EA6" w:rsidRPr="00EB1443" w:rsidSect="00AA153F">
      <w:pgSz w:w="16838" w:h="11906" w:orient="landscape"/>
      <w:pgMar w:top="142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49" w:rsidRDefault="00463B49">
      <w:pPr>
        <w:spacing w:after="0" w:line="240" w:lineRule="auto"/>
      </w:pPr>
      <w:r>
        <w:separator/>
      </w:r>
    </w:p>
  </w:endnote>
  <w:endnote w:type="continuationSeparator" w:id="0">
    <w:p w:rsidR="00463B49" w:rsidRDefault="0046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443" w:rsidRDefault="00EB14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4C66">
      <w:rPr>
        <w:noProof/>
      </w:rPr>
      <w:t>3</w:t>
    </w:r>
    <w:r>
      <w:fldChar w:fldCharType="end"/>
    </w:r>
  </w:p>
  <w:p w:rsidR="00EB1443" w:rsidRDefault="00EB14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49" w:rsidRDefault="00463B49">
      <w:pPr>
        <w:spacing w:after="0" w:line="240" w:lineRule="auto"/>
      </w:pPr>
      <w:r>
        <w:separator/>
      </w:r>
    </w:p>
  </w:footnote>
  <w:footnote w:type="continuationSeparator" w:id="0">
    <w:p w:rsidR="00463B49" w:rsidRDefault="0046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43"/>
    <w:rsid w:val="00463B49"/>
    <w:rsid w:val="00957AE6"/>
    <w:rsid w:val="00961FC5"/>
    <w:rsid w:val="00AA153F"/>
    <w:rsid w:val="00B74C66"/>
    <w:rsid w:val="00D82FF7"/>
    <w:rsid w:val="00EB1443"/>
    <w:rsid w:val="00F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1615-187C-4885-8977-B047E4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B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B1443"/>
  </w:style>
  <w:style w:type="table" w:styleId="a5">
    <w:name w:val="Table Grid"/>
    <w:basedOn w:val="a1"/>
    <w:uiPriority w:val="59"/>
    <w:rsid w:val="00EB144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EB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EB14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44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B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4</cp:revision>
  <dcterms:created xsi:type="dcterms:W3CDTF">2025-03-24T13:51:00Z</dcterms:created>
  <dcterms:modified xsi:type="dcterms:W3CDTF">2025-03-24T14:41:00Z</dcterms:modified>
</cp:coreProperties>
</file>