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3B588C" w:rsidRPr="00066139" w:rsidRDefault="003B588C" w:rsidP="0013687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13687C" w:rsidRDefault="0013687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</w:p>
    <w:p w:rsidR="003B588C" w:rsidRPr="00066139" w:rsidRDefault="00792C00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04.10</w:t>
      </w:r>
      <w:r w:rsidR="006926B0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.</w:t>
      </w:r>
      <w:r w:rsidR="003B588C"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202</w:t>
      </w:r>
      <w:r w:rsidR="006926B0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4</w:t>
      </w:r>
      <w:r w:rsidR="003B588C"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</w:t>
      </w:r>
      <w:r w:rsidR="0013687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</w:t>
      </w:r>
      <w:r w:rsidR="003B588C"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</w:t>
      </w:r>
      <w:r w:rsidR="0013687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</w:t>
      </w:r>
      <w:r w:rsidR="003B588C"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          </w:t>
      </w:r>
      <w:r w:rsidR="005348B2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 xml:space="preserve">4049 </w:t>
      </w:r>
      <w:r w:rsidR="003B588C"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- ПА</w:t>
      </w:r>
    </w:p>
    <w:p w:rsidR="003B588C" w:rsidRPr="0013687C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0"/>
          <w:szCs w:val="20"/>
          <w:lang w:eastAsia="ru-RU"/>
        </w:rPr>
      </w:pPr>
      <w:r w:rsidRPr="0013687C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t>г. Люберцы</w:t>
      </w:r>
    </w:p>
    <w:p w:rsidR="006926B0" w:rsidRDefault="006926B0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977A8F" w:rsidRPr="00977A8F" w:rsidRDefault="00977A8F" w:rsidP="00977A8F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7A8F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977A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77A8F" w:rsidRPr="00977A8F" w:rsidRDefault="00977A8F" w:rsidP="00977A8F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977A8F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977A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977A8F" w:rsidRPr="00977A8F" w:rsidRDefault="00977A8F" w:rsidP="00977A8F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77A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977A8F" w:rsidRPr="00977A8F" w:rsidRDefault="00977A8F" w:rsidP="00977A8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7A8F" w:rsidRPr="00977A8F" w:rsidRDefault="00977A8F" w:rsidP="00977A8F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A8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977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юберцы от 24.10.2022 № 4263-ПА </w:t>
      </w:r>
      <w:r w:rsidRPr="00977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разработки и реализации муниципальных программ городского округа Люберцы»</w:t>
      </w:r>
      <w:r w:rsidRPr="00977A8F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977A8F" w:rsidRPr="00977A8F" w:rsidRDefault="00977A8F" w:rsidP="00977A8F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A8F" w:rsidRPr="00977A8F" w:rsidRDefault="00977A8F" w:rsidP="00977A8F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A8F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А, утвердив ее в новой редакции </w:t>
      </w:r>
      <w:r w:rsidRPr="00977A8F">
        <w:rPr>
          <w:rFonts w:ascii="Arial" w:eastAsia="Times New Roman" w:hAnsi="Arial" w:cs="Arial"/>
          <w:sz w:val="24"/>
          <w:szCs w:val="24"/>
          <w:lang w:eastAsia="ru-RU"/>
        </w:rPr>
        <w:t>(прилагается).</w:t>
      </w:r>
    </w:p>
    <w:p w:rsidR="00977A8F" w:rsidRPr="00977A8F" w:rsidRDefault="00977A8F" w:rsidP="00977A8F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7A8F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977A8F" w:rsidRPr="00977A8F" w:rsidRDefault="00977A8F" w:rsidP="00977A8F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977A8F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Pr="00977A8F">
        <w:rPr>
          <w:rFonts w:ascii="Arial" w:eastAsia="Calibri" w:hAnsi="Arial" w:cs="Arial"/>
          <w:sz w:val="24"/>
          <w:szCs w:val="24"/>
        </w:rPr>
        <w:t>исполняющего обязанности заместителя Главы Синчука В.В.</w:t>
      </w:r>
    </w:p>
    <w:p w:rsidR="00977A8F" w:rsidRPr="00977A8F" w:rsidRDefault="00977A8F" w:rsidP="00977A8F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A8F" w:rsidRPr="00977A8F" w:rsidRDefault="00977A8F" w:rsidP="00977A8F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A8F" w:rsidRPr="00977A8F" w:rsidRDefault="00977A8F" w:rsidP="00977A8F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A8F" w:rsidRPr="00977A8F" w:rsidRDefault="00977A8F" w:rsidP="00977A8F">
      <w:pPr>
        <w:tabs>
          <w:tab w:val="left" w:pos="7512"/>
        </w:tabs>
        <w:spacing w:after="0" w:line="240" w:lineRule="auto"/>
        <w:ind w:right="-2"/>
        <w:rPr>
          <w:rFonts w:ascii="Arial" w:eastAsia="Times New Roman" w:hAnsi="Arial" w:cs="Arial"/>
          <w:sz w:val="24"/>
          <w:szCs w:val="24"/>
          <w:lang w:eastAsia="ru-RU"/>
        </w:rPr>
      </w:pPr>
      <w:r w:rsidRPr="00977A8F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977A8F">
        <w:rPr>
          <w:rFonts w:ascii="Arial" w:eastAsia="Times New Roman" w:hAnsi="Arial" w:cs="Arial"/>
          <w:sz w:val="24"/>
          <w:szCs w:val="24"/>
          <w:lang w:eastAsia="ru-RU"/>
        </w:rPr>
        <w:t xml:space="preserve">       В.М. Волков</w:t>
      </w:r>
    </w:p>
    <w:p w:rsidR="00977A8F" w:rsidRPr="00977A8F" w:rsidRDefault="00977A8F" w:rsidP="00977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77A8F" w:rsidRPr="00977A8F">
          <w:pgSz w:w="11906" w:h="16838"/>
          <w:pgMar w:top="284" w:right="709" w:bottom="568" w:left="1560" w:header="284" w:footer="0" w:gutter="0"/>
          <w:cols w:space="720"/>
        </w:sectPr>
      </w:pPr>
    </w:p>
    <w:p w:rsidR="005348B2" w:rsidRPr="005348B2" w:rsidRDefault="005348B2" w:rsidP="005348B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Cs/>
          <w:caps/>
          <w:sz w:val="24"/>
          <w:szCs w:val="24"/>
          <w:lang w:eastAsia="ru-RU"/>
        </w:rPr>
      </w:pPr>
      <w:r w:rsidRPr="005348B2">
        <w:rPr>
          <w:rFonts w:ascii="Arial" w:eastAsia="Calibri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5348B2" w:rsidRPr="005348B2" w:rsidRDefault="005348B2" w:rsidP="005348B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5348B2" w:rsidRPr="005348B2" w:rsidRDefault="005348B2" w:rsidP="005348B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образования </w:t>
      </w:r>
    </w:p>
    <w:p w:rsidR="005348B2" w:rsidRPr="005348B2" w:rsidRDefault="005348B2" w:rsidP="005348B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 xml:space="preserve"> округ Люберцы</w:t>
      </w:r>
    </w:p>
    <w:p w:rsidR="005348B2" w:rsidRPr="005348B2" w:rsidRDefault="005348B2" w:rsidP="005348B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5348B2" w:rsidRPr="005348B2" w:rsidRDefault="005348B2" w:rsidP="005348B2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 xml:space="preserve">от </w:t>
      </w:r>
      <w:r w:rsidR="0013687C">
        <w:rPr>
          <w:rFonts w:ascii="Arial" w:eastAsia="Calibri" w:hAnsi="Arial" w:cs="Arial"/>
          <w:bCs/>
          <w:sz w:val="24"/>
          <w:szCs w:val="24"/>
          <w:lang w:eastAsia="ru-RU"/>
        </w:rPr>
        <w:t xml:space="preserve"> 04.10.2024 </w:t>
      </w:r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>№</w:t>
      </w:r>
      <w:r w:rsidR="0013687C">
        <w:rPr>
          <w:rFonts w:ascii="Arial" w:eastAsia="Calibri" w:hAnsi="Arial" w:cs="Arial"/>
          <w:bCs/>
          <w:sz w:val="24"/>
          <w:szCs w:val="24"/>
          <w:lang w:eastAsia="ru-RU"/>
        </w:rPr>
        <w:t>4049</w:t>
      </w:r>
      <w:bookmarkStart w:id="0" w:name="_GoBack"/>
      <w:bookmarkEnd w:id="0"/>
      <w:r w:rsidRPr="005348B2">
        <w:rPr>
          <w:rFonts w:ascii="Arial" w:eastAsia="Calibri" w:hAnsi="Arial" w:cs="Arial"/>
          <w:bCs/>
          <w:sz w:val="24"/>
          <w:szCs w:val="24"/>
          <w:lang w:eastAsia="ru-RU"/>
        </w:rPr>
        <w:t>-ПА</w:t>
      </w:r>
    </w:p>
    <w:p w:rsidR="005348B2" w:rsidRPr="005348B2" w:rsidRDefault="005348B2" w:rsidP="005348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из аварийного жилищного фонда» </w:t>
      </w:r>
    </w:p>
    <w:p w:rsidR="005348B2" w:rsidRPr="005348B2" w:rsidRDefault="005348B2" w:rsidP="005348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12"/>
        <w:gridCol w:w="1584"/>
        <w:gridCol w:w="1232"/>
        <w:gridCol w:w="1487"/>
        <w:gridCol w:w="1352"/>
        <w:gridCol w:w="1311"/>
        <w:gridCol w:w="1246"/>
      </w:tblGrid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заместителя Главы городского окр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уга Люберцы Московской области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Синчук</w:t>
            </w:r>
            <w:proofErr w:type="spellEnd"/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– 2027 годы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4. 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13687C" w:rsidP="005348B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anchor="sub_1011" w:history="1">
              <w:r w:rsidR="005348B2" w:rsidRPr="005348B2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5348B2"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Обеспечение мероприятий по переселению граждан из аварийного жилищного фонда в Московской области.</w:t>
            </w:r>
          </w:p>
          <w:p w:rsidR="005348B2" w:rsidRPr="005348B2" w:rsidRDefault="005348B2" w:rsidP="005348B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</w:r>
            <w:proofErr w:type="spell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Люберцы.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Подпрограмма 4.  Обеспечение мероприятий по переселению граждан из аварийного жилищного фонда в Московской области признанного таковым после 1 января 2017 года.</w:t>
            </w:r>
          </w:p>
          <w:p w:rsidR="005348B2" w:rsidRPr="005348B2" w:rsidRDefault="005348B2" w:rsidP="005348B2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граждан, проживающих в признанных аварийными многоквартирных жилых домах.</w:t>
            </w:r>
          </w:p>
        </w:tc>
      </w:tr>
      <w:tr w:rsidR="005348B2" w:rsidRPr="005348B2" w:rsidTr="00977A8F">
        <w:trPr>
          <w:trHeight w:val="267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517194,26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517194,26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250156,27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250156,27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348B2" w:rsidRPr="005348B2" w:rsidTr="00977A8F">
        <w:trPr>
          <w:trHeight w:val="20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767350,53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767350,53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5348B2" w:rsidRPr="005348B2" w:rsidRDefault="005348B2" w:rsidP="005348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numPr>
          <w:ilvl w:val="0"/>
          <w:numId w:val="6"/>
        </w:numPr>
        <w:spacing w:after="0" w:line="240" w:lineRule="auto"/>
        <w:ind w:right="253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15 жилых домов требующих расселения. Дома признаны аварийными до апреля 2024 года, общая площадь жилых помещений 11782,01 </w:t>
      </w:r>
      <w:proofErr w:type="spellStart"/>
      <w:r w:rsidRPr="005348B2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5348B2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793 человека.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Программы предполагает переселение граждан, проживающих в признанных аварийными многоквартирных жилых </w:t>
      </w:r>
      <w:r w:rsidRPr="005348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домах.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5348B2" w:rsidRPr="005348B2" w:rsidRDefault="005348B2" w:rsidP="005348B2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ind w:right="253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53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мероприятий Подпрограммы 2 с 2024 года предусмотрены в рамках Подпрограммы 4 «Обеспечение мероприятий по переселению граждан из аварийного жилищного фонда в Московской области признанного таковым после 1 января 2017 года»,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48B2" w:rsidRPr="005348B2" w:rsidRDefault="005348B2" w:rsidP="005348B2">
      <w:pPr>
        <w:numPr>
          <w:ilvl w:val="0"/>
          <w:numId w:val="6"/>
        </w:numPr>
        <w:spacing w:after="0" w:line="240" w:lineRule="auto"/>
        <w:ind w:right="394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5348B2" w:rsidRPr="005348B2" w:rsidRDefault="005348B2" w:rsidP="005348B2">
      <w:pPr>
        <w:spacing w:after="0" w:line="240" w:lineRule="auto"/>
        <w:ind w:right="394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spacing w:after="0" w:line="240" w:lineRule="auto"/>
        <w:ind w:right="39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5348B2" w:rsidRPr="005348B2" w:rsidRDefault="005348B2" w:rsidP="005348B2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3455"/>
        <w:gridCol w:w="1545"/>
        <w:gridCol w:w="1209"/>
        <w:gridCol w:w="1072"/>
        <w:gridCol w:w="804"/>
        <w:gridCol w:w="805"/>
        <w:gridCol w:w="669"/>
        <w:gridCol w:w="785"/>
        <w:gridCol w:w="829"/>
        <w:gridCol w:w="1314"/>
        <w:gridCol w:w="1864"/>
      </w:tblGrid>
      <w:tr w:rsidR="005348B2" w:rsidRPr="005348B2" w:rsidTr="005348B2">
        <w:trPr>
          <w:trHeight w:val="2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 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Планируемое значение по годам реализации программы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 достижение показателя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Номер подпрограммы,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мероприятий, оказывающих влияние на достижение показателя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8B2" w:rsidRPr="005348B2" w:rsidTr="005348B2">
        <w:trPr>
          <w:trHeight w:val="100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348B2" w:rsidRPr="005348B2" w:rsidTr="005348B2">
        <w:trPr>
          <w:trHeight w:val="325"/>
        </w:trPr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5348B2" w:rsidRPr="005348B2" w:rsidTr="005348B2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квадратных метров расселенного аварийного жилищного фонда, за счет муниципальных программ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5348B2" w:rsidRPr="005348B2" w:rsidTr="005348B2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5348B2" w:rsidRPr="005348B2" w:rsidTr="005348B2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0,0482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5348B2" w:rsidRPr="005348B2" w:rsidTr="005348B2">
        <w:trPr>
          <w:trHeight w:val="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4. 01.01</w:t>
            </w:r>
          </w:p>
        </w:tc>
      </w:tr>
      <w:tr w:rsidR="005348B2" w:rsidRPr="005348B2" w:rsidTr="005348B2">
        <w:trPr>
          <w:trHeight w:val="15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5348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5348B2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8B2" w:rsidRPr="005348B2" w:rsidRDefault="005348B2" w:rsidP="005348B2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4. 01.01</w:t>
            </w:r>
          </w:p>
        </w:tc>
      </w:tr>
      <w:tr w:rsidR="005348B2" w:rsidRPr="005348B2" w:rsidTr="005348B2">
        <w:trPr>
          <w:trHeight w:val="21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5348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после 01.01.2017</w:t>
            </w:r>
            <w:r w:rsidRPr="005348B2">
              <w:rPr>
                <w:rFonts w:ascii="Arial" w:eastAsia="Times New Roman" w:hAnsi="Arial" w:cs="Arial"/>
                <w:sz w:val="24"/>
                <w:szCs w:val="24"/>
              </w:rPr>
              <w:t xml:space="preserve"> года, расселенного по Подпрограмме 4.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8B2" w:rsidRPr="005348B2" w:rsidRDefault="005348B2" w:rsidP="005348B2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0,793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4. 01.01</w:t>
            </w:r>
          </w:p>
        </w:tc>
      </w:tr>
    </w:tbl>
    <w:p w:rsidR="005348B2" w:rsidRPr="005348B2" w:rsidRDefault="005348B2" w:rsidP="005348B2">
      <w:pPr>
        <w:tabs>
          <w:tab w:val="left" w:pos="9408"/>
        </w:tabs>
        <w:spacing w:after="0" w:line="276" w:lineRule="auto"/>
        <w:ind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tabs>
          <w:tab w:val="left" w:pos="9408"/>
        </w:tabs>
        <w:spacing w:after="0" w:line="276" w:lineRule="auto"/>
        <w:ind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5348B2" w:rsidRPr="005348B2" w:rsidRDefault="005348B2" w:rsidP="005348B2">
      <w:pPr>
        <w:widowControl w:val="0"/>
        <w:spacing w:after="0" w:line="240" w:lineRule="auto"/>
        <w:ind w:right="14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5348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5348B2" w:rsidRPr="005348B2" w:rsidRDefault="005348B2" w:rsidP="005348B2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148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0"/>
        <w:gridCol w:w="8928"/>
      </w:tblGrid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5348B2" w:rsidRPr="005348B2" w:rsidTr="005348B2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 xml:space="preserve">Переселение граждан, проживающих в признанных аварийными </w:t>
            </w:r>
            <w:r w:rsidRPr="005348B2">
              <w:rPr>
                <w:rFonts w:ascii="Arial" w:eastAsia="Calibri" w:hAnsi="Arial" w:cs="Arial"/>
                <w:sz w:val="24"/>
                <w:szCs w:val="24"/>
              </w:rPr>
              <w:lastRenderedPageBreak/>
              <w:t>многоквартирных жилых домах.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lastRenderedPageBreak/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</w:tr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</w:tr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  <w:tr w:rsidR="005348B2" w:rsidRPr="005348B2" w:rsidTr="005348B2">
        <w:trPr>
          <w:trHeight w:val="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</w:tr>
    </w:tbl>
    <w:p w:rsidR="005348B2" w:rsidRPr="005348B2" w:rsidRDefault="005348B2" w:rsidP="005348B2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spacing w:after="0" w:line="240" w:lineRule="auto"/>
        <w:ind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spacing w:after="0" w:line="240" w:lineRule="auto"/>
        <w:ind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spacing w:after="0" w:line="240" w:lineRule="auto"/>
        <w:ind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spacing w:after="0" w:line="240" w:lineRule="auto"/>
        <w:ind w:right="39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5348B2" w:rsidRPr="005348B2" w:rsidRDefault="005348B2" w:rsidP="005348B2">
      <w:pPr>
        <w:widowControl w:val="0"/>
        <w:spacing w:after="0" w:line="240" w:lineRule="auto"/>
        <w:ind w:right="54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2"/>
        <w:tblW w:w="148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623"/>
        <w:gridCol w:w="1478"/>
        <w:gridCol w:w="4847"/>
        <w:gridCol w:w="2239"/>
        <w:gridCol w:w="1843"/>
      </w:tblGrid>
      <w:tr w:rsidR="005348B2" w:rsidRPr="005348B2" w:rsidTr="005348B2">
        <w:trPr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5348B2" w:rsidRPr="005348B2" w:rsidTr="005348B2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5348B2" w:rsidRPr="005348B2" w:rsidTr="005348B2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ежеквартально</w:t>
            </w:r>
            <w:proofErr w:type="gramEnd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по итогам года</w:t>
            </w:r>
          </w:p>
        </w:tc>
      </w:tr>
      <w:tr w:rsidR="005348B2" w:rsidRPr="005348B2" w:rsidTr="005348B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фонда, за счет муниципальных программ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ежеквартально</w:t>
            </w:r>
            <w:proofErr w:type="gramEnd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по итогам года</w:t>
            </w:r>
          </w:p>
        </w:tc>
      </w:tr>
      <w:tr w:rsidR="005348B2" w:rsidRPr="005348B2" w:rsidTr="005348B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Базовое значение за 2023 год - 0,3479 тысяч квадратных метров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ежеквартально</w:t>
            </w:r>
            <w:proofErr w:type="gramEnd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по итогам года</w:t>
            </w:r>
          </w:p>
        </w:tc>
      </w:tr>
      <w:tr w:rsidR="005348B2" w:rsidRPr="005348B2" w:rsidTr="005348B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Значение целевого показателя определяется исходя из количества переселенных граждан из аварийного фонда в рамках муниципальных программ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Базовое значение за 2023 год - 0,023 тысяч человек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ежеквартально</w:t>
            </w:r>
            <w:proofErr w:type="gramEnd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по итогам года</w:t>
            </w:r>
          </w:p>
        </w:tc>
      </w:tr>
      <w:tr w:rsidR="005348B2" w:rsidRPr="005348B2" w:rsidTr="005348B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5348B2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после 01.01.2017</w:t>
            </w: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Тысяча квадратных метров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 </w:t>
            </w:r>
          </w:p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Базовое значение за 2023 год - 0,00 тысяч квадратных метров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ежеквартально</w:t>
            </w:r>
            <w:proofErr w:type="gramEnd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по итогам года</w:t>
            </w:r>
          </w:p>
        </w:tc>
      </w:tr>
      <w:tr w:rsidR="005348B2" w:rsidRPr="005348B2" w:rsidTr="005348B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5348B2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после 01.01.2017</w:t>
            </w: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года, расселенного по Подпрограмме 4.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 </w:t>
            </w:r>
          </w:p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Базовое значение за 2023 год - 0,00 тысяч человек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ежеквартально</w:t>
            </w:r>
            <w:proofErr w:type="gramEnd"/>
            <w:r w:rsidRPr="005348B2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по итогам года</w:t>
            </w:r>
          </w:p>
        </w:tc>
      </w:tr>
    </w:tbl>
    <w:p w:rsidR="005348B2" w:rsidRPr="005348B2" w:rsidRDefault="005348B2" w:rsidP="005348B2">
      <w:pPr>
        <w:tabs>
          <w:tab w:val="left" w:pos="1077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348B2" w:rsidRPr="005348B2" w:rsidRDefault="005348B2" w:rsidP="00534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5348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5348B2" w:rsidRPr="005348B2" w:rsidRDefault="005348B2" w:rsidP="00534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"/>
        <w:tblW w:w="148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125"/>
        <w:gridCol w:w="1701"/>
        <w:gridCol w:w="1588"/>
        <w:gridCol w:w="2663"/>
        <w:gridCol w:w="1389"/>
        <w:gridCol w:w="4564"/>
      </w:tblGrid>
      <w:tr w:rsidR="005348B2" w:rsidRPr="005348B2" w:rsidTr="00534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5348B2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5348B2" w:rsidRPr="005348B2" w:rsidTr="00534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48B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348B2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348B2" w:rsidRPr="005348B2" w:rsidTr="00534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жителей, переселенных из аварийного жилья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Источник данных: данные у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  <w:tr w:rsidR="005348B2" w:rsidRPr="005348B2" w:rsidTr="005348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ind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числа жителей, переселенных из аварийного жилья</w:t>
            </w:r>
          </w:p>
          <w:p w:rsidR="005348B2" w:rsidRPr="005348B2" w:rsidRDefault="005348B2" w:rsidP="005348B2">
            <w:pPr>
              <w:rPr>
                <w:rFonts w:ascii="Arial" w:hAnsi="Arial" w:cs="Arial"/>
                <w:sz w:val="24"/>
                <w:szCs w:val="24"/>
              </w:rPr>
            </w:pPr>
            <w:r w:rsidRPr="005348B2">
              <w:rPr>
                <w:rFonts w:ascii="Arial" w:hAnsi="Arial" w:cs="Arial"/>
                <w:sz w:val="24"/>
                <w:szCs w:val="24"/>
              </w:rPr>
              <w:t>Источник данных: данные у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2023 год -0,023</w:t>
            </w:r>
          </w:p>
        </w:tc>
      </w:tr>
    </w:tbl>
    <w:p w:rsidR="005348B2" w:rsidRPr="005348B2" w:rsidRDefault="005348B2" w:rsidP="00534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B2" w:rsidRPr="005348B2" w:rsidRDefault="005348B2" w:rsidP="00534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B2" w:rsidRPr="005348B2" w:rsidRDefault="005348B2" w:rsidP="00534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B2" w:rsidRPr="005348B2" w:rsidRDefault="005348B2" w:rsidP="00534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5348B2" w:rsidRPr="005348B2">
          <w:pgSz w:w="16838" w:h="11906" w:orient="landscape"/>
          <w:pgMar w:top="567" w:right="567" w:bottom="284" w:left="1276" w:header="227" w:footer="0" w:gutter="340"/>
          <w:cols w:space="720"/>
        </w:sectPr>
      </w:pPr>
    </w:p>
    <w:p w:rsidR="005348B2" w:rsidRPr="005348B2" w:rsidRDefault="005348B2" w:rsidP="005348B2">
      <w:pPr>
        <w:tabs>
          <w:tab w:val="left" w:pos="1077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348B2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5348B2" w:rsidRPr="005348B2" w:rsidRDefault="005348B2" w:rsidP="005348B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5348B2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5348B2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5348B2" w:rsidRPr="005348B2" w:rsidRDefault="005348B2" w:rsidP="005348B2">
      <w:pPr>
        <w:tabs>
          <w:tab w:val="left" w:pos="1115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348B2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5348B2" w:rsidRPr="005348B2" w:rsidRDefault="005348B2" w:rsidP="005348B2">
      <w:pPr>
        <w:tabs>
          <w:tab w:val="left" w:pos="11152"/>
          <w:tab w:val="left" w:pos="1119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534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bottomFromText="160" w:vertAnchor="text" w:horzAnchor="margin" w:tblpX="-364" w:tblpY="182"/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125"/>
        <w:gridCol w:w="1134"/>
        <w:gridCol w:w="2126"/>
        <w:gridCol w:w="992"/>
        <w:gridCol w:w="851"/>
        <w:gridCol w:w="850"/>
        <w:gridCol w:w="709"/>
        <w:gridCol w:w="851"/>
        <w:gridCol w:w="708"/>
        <w:gridCol w:w="709"/>
        <w:gridCol w:w="851"/>
        <w:gridCol w:w="708"/>
        <w:gridCol w:w="709"/>
        <w:gridCol w:w="1634"/>
      </w:tblGrid>
      <w:tr w:rsidR="005348B2" w:rsidRPr="005348B2" w:rsidTr="005348B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02.01 </w:t>
            </w:r>
            <w:r w:rsidRPr="005348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по переселению граждан из аварийного жилищного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фонда, признанного таковым после 01.01.2017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– 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администрации городского округа Люберцы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области.</w:t>
            </w: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48B2" w:rsidRPr="005348B2" w:rsidRDefault="005348B2" w:rsidP="005348B2">
      <w:pPr>
        <w:tabs>
          <w:tab w:val="left" w:pos="10773"/>
          <w:tab w:val="left" w:pos="1105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2 </w:t>
      </w:r>
      <w:r w:rsidRPr="005348B2">
        <w:rPr>
          <w:rFonts w:ascii="Arial" w:eastAsia="Calibri" w:hAnsi="Arial" w:cs="Arial"/>
          <w:bCs/>
          <w:sz w:val="24"/>
          <w:szCs w:val="24"/>
        </w:rPr>
        <w:t>«</w:t>
      </w:r>
      <w:r w:rsidRPr="005348B2">
        <w:rPr>
          <w:rFonts w:ascii="Arial" w:eastAsia="Calibri" w:hAnsi="Arial" w:cs="Arial"/>
          <w:b/>
          <w:bCs/>
          <w:sz w:val="24"/>
          <w:szCs w:val="24"/>
        </w:rPr>
        <w:t xml:space="preserve">Обеспечение мероприятий по переселению граждан из аварийного жилищного фонда в Московской области» 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534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2934"/>
        <w:gridCol w:w="11446"/>
      </w:tblGrid>
      <w:tr w:rsidR="005348B2" w:rsidRPr="005348B2" w:rsidTr="005348B2">
        <w:trPr>
          <w:trHeight w:val="509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348B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348B2" w:rsidRPr="005348B2" w:rsidTr="005348B2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348B2" w:rsidRPr="005348B2" w:rsidTr="005348B2">
        <w:trPr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02 </w:t>
            </w:r>
          </w:p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Переселение граждан, проживающих в признанных аварийными многоквартирных жилых домах.</w:t>
            </w:r>
          </w:p>
        </w:tc>
      </w:tr>
    </w:tbl>
    <w:p w:rsidR="005348B2" w:rsidRPr="005348B2" w:rsidRDefault="005348B2" w:rsidP="005348B2">
      <w:pPr>
        <w:tabs>
          <w:tab w:val="left" w:pos="10773"/>
          <w:tab w:val="left" w:pos="1105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tabs>
          <w:tab w:val="left" w:pos="1077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5348B2" w:rsidRPr="005348B2" w:rsidRDefault="005348B2" w:rsidP="005348B2">
      <w:pPr>
        <w:tabs>
          <w:tab w:val="left" w:pos="1077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348B2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5348B2" w:rsidRPr="005348B2" w:rsidRDefault="005348B2" w:rsidP="005348B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5348B2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5348B2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5348B2" w:rsidRPr="005348B2" w:rsidRDefault="005348B2" w:rsidP="005348B2">
      <w:pPr>
        <w:tabs>
          <w:tab w:val="left" w:pos="1115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348B2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534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 «Обеспечение мероприятий по переселению граждан из аварийного жилищного фонда в Московской области, признанного таковым после 1 января 2017 года» муниципальной программы городского округа Люберцы Московской области 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bottomFromText="160" w:vertAnchor="text" w:horzAnchor="margin" w:tblpX="-364" w:tblpY="182"/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322"/>
        <w:gridCol w:w="1201"/>
        <w:gridCol w:w="1493"/>
        <w:gridCol w:w="1275"/>
        <w:gridCol w:w="567"/>
        <w:gridCol w:w="709"/>
        <w:gridCol w:w="567"/>
        <w:gridCol w:w="709"/>
        <w:gridCol w:w="709"/>
        <w:gridCol w:w="850"/>
        <w:gridCol w:w="709"/>
        <w:gridCol w:w="1276"/>
        <w:gridCol w:w="992"/>
        <w:gridCol w:w="1559"/>
      </w:tblGrid>
      <w:tr w:rsidR="005348B2" w:rsidRPr="005348B2" w:rsidTr="005348B2">
        <w:trPr>
          <w:trHeight w:val="2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13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348B2" w:rsidRPr="005348B2" w:rsidTr="005348B2">
        <w:trPr>
          <w:trHeight w:val="873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517194,26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517194,26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250156,27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250156,27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767350,53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767350,53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 –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517194,26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517194,26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250156,27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250156,27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767350,53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767350,53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3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348B2" w:rsidRPr="005348B2" w:rsidTr="005348B2">
        <w:trPr>
          <w:trHeight w:val="3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  <w:p w:rsidR="005348B2" w:rsidRPr="005348B2" w:rsidRDefault="005348B2" w:rsidP="005348B2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</w:rPr>
              <w:t>0,000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767350,53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767350,53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517194,26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517194,26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lastRenderedPageBreak/>
              <w:t>250156,27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Calibri" w:hAnsi="Arial" w:cs="Arial"/>
                <w:sz w:val="24"/>
                <w:szCs w:val="24"/>
              </w:rPr>
              <w:t>250156,27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348B2" w:rsidRPr="005348B2" w:rsidRDefault="005348B2" w:rsidP="005348B2">
      <w:pPr>
        <w:tabs>
          <w:tab w:val="left" w:pos="10773"/>
          <w:tab w:val="left" w:pos="1105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  <w:r w:rsidRPr="005348B2">
        <w:rPr>
          <w:rFonts w:ascii="Arial" w:eastAsia="Calibri" w:hAnsi="Arial" w:cs="Arial"/>
          <w:b/>
          <w:bCs/>
          <w:sz w:val="24"/>
          <w:szCs w:val="24"/>
        </w:rPr>
        <w:t>4 «Обеспечение мероприятий по переселению граждан из аварийного жилищного фонда в Московской области, признанного таковым после 1 января 2017 года»</w:t>
      </w:r>
      <w:r w:rsidRPr="005348B2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5348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  <w:r w:rsidRPr="005348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с задачами, на достижение которых направлено мероприятие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348B2">
        <w:rPr>
          <w:rFonts w:ascii="Arial" w:eastAsia="Times New Roman" w:hAnsi="Arial" w:cs="Arial"/>
          <w:sz w:val="24"/>
          <w:szCs w:val="24"/>
          <w:lang w:eastAsia="ru-RU"/>
        </w:rPr>
        <w:t xml:space="preserve">    Таблица 2</w:t>
      </w:r>
    </w:p>
    <w:p w:rsidR="005348B2" w:rsidRPr="005348B2" w:rsidRDefault="005348B2" w:rsidP="005348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"/>
        <w:gridCol w:w="6968"/>
        <w:gridCol w:w="7430"/>
      </w:tblGrid>
      <w:tr w:rsidR="005348B2" w:rsidRPr="005348B2" w:rsidTr="005348B2">
        <w:trPr>
          <w:trHeight w:val="509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5348B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348B2" w:rsidRPr="005348B2" w:rsidTr="005348B2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348B2" w:rsidRPr="005348B2" w:rsidTr="005348B2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 в Московской области, признанного таковым после 1 января 2017 года</w:t>
            </w:r>
          </w:p>
        </w:tc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348B2" w:rsidRPr="005348B2" w:rsidRDefault="005348B2" w:rsidP="005348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</w:tbl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tabs>
          <w:tab w:val="left" w:pos="10773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348B2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№3 </w:t>
      </w:r>
    </w:p>
    <w:p w:rsidR="005348B2" w:rsidRPr="005348B2" w:rsidRDefault="005348B2" w:rsidP="005348B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5348B2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5348B2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5348B2" w:rsidRPr="005348B2" w:rsidRDefault="005348B2" w:rsidP="005348B2">
      <w:pPr>
        <w:tabs>
          <w:tab w:val="left" w:pos="1115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348B2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5348B2" w:rsidRDefault="005348B2" w:rsidP="005348B2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5348B2">
        <w:rPr>
          <w:rFonts w:ascii="Arial" w:eastAsia="Calibri" w:hAnsi="Arial" w:cs="Arial"/>
          <w:sz w:val="24"/>
          <w:szCs w:val="24"/>
        </w:rPr>
        <w:t>Перечень аварийных многоквартирных домов</w:t>
      </w:r>
    </w:p>
    <w:p w:rsidR="005348B2" w:rsidRPr="005348B2" w:rsidRDefault="005348B2" w:rsidP="005348B2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5348B2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1497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3"/>
        <w:gridCol w:w="2126"/>
        <w:gridCol w:w="913"/>
        <w:gridCol w:w="1218"/>
        <w:gridCol w:w="1019"/>
        <w:gridCol w:w="1193"/>
        <w:gridCol w:w="958"/>
        <w:gridCol w:w="941"/>
        <w:gridCol w:w="708"/>
        <w:gridCol w:w="1418"/>
        <w:gridCol w:w="1417"/>
        <w:gridCol w:w="1271"/>
        <w:gridCol w:w="1281"/>
      </w:tblGrid>
      <w:tr w:rsidR="005348B2" w:rsidRPr="005348B2" w:rsidTr="005348B2">
        <w:trPr>
          <w:trHeight w:val="32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многоквартирных аварийных жилых домов (далее - МКД)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Планируемая </w:t>
            </w: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 окончания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переселения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Планируемая дата сноса / реконструкции МКД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всего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жилых помещений МКД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Расселяемая площадь жилых помещений</w:t>
            </w:r>
          </w:p>
        </w:tc>
      </w:tr>
      <w:tr w:rsidR="005348B2" w:rsidRPr="005348B2" w:rsidTr="005348B2">
        <w:trPr>
          <w:trHeight w:val="5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5348B2" w:rsidRPr="005348B2" w:rsidTr="005348B2">
        <w:trPr>
          <w:trHeight w:val="29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частная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proofErr w:type="gramEnd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29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48B2" w:rsidRPr="005348B2" w:rsidTr="005348B2">
        <w:trPr>
          <w:trHeight w:val="5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5348B2" w:rsidRPr="005348B2" w:rsidTr="005348B2">
        <w:trPr>
          <w:trHeight w:val="25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5348B2" w:rsidRPr="005348B2" w:rsidTr="005348B2">
        <w:trPr>
          <w:trHeight w:val="257"/>
        </w:trPr>
        <w:tc>
          <w:tcPr>
            <w:tcW w:w="6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городскому округу Люберцы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11 782,01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11 782,01</w:t>
            </w:r>
          </w:p>
        </w:tc>
      </w:tr>
      <w:tr w:rsidR="005348B2" w:rsidRPr="005348B2" w:rsidTr="005348B2">
        <w:trPr>
          <w:trHeight w:val="44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1 554,61</w:t>
            </w:r>
          </w:p>
        </w:tc>
      </w:tr>
      <w:tr w:rsidR="005348B2" w:rsidRPr="005348B2" w:rsidTr="005348B2">
        <w:trPr>
          <w:trHeight w:val="10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1 869,05</w:t>
            </w:r>
          </w:p>
        </w:tc>
      </w:tr>
      <w:tr w:rsidR="005348B2" w:rsidRPr="005348B2" w:rsidTr="005348B2">
        <w:trPr>
          <w:trHeight w:val="2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п. Калинина, д. 15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5328-ПА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2 071,92</w:t>
            </w:r>
          </w:p>
        </w:tc>
      </w:tr>
      <w:tr w:rsidR="005348B2" w:rsidRPr="005348B2" w:rsidTr="005348B2">
        <w:trPr>
          <w:trHeight w:val="1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г. </w:t>
            </w: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Люберцы, п. Калинина, д. 16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5328-ПА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1 882,84</w:t>
            </w:r>
          </w:p>
        </w:tc>
      </w:tr>
      <w:tr w:rsidR="005348B2" w:rsidRPr="005348B2" w:rsidTr="005348B2">
        <w:trPr>
          <w:trHeight w:val="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8 Марта, д. 63, к. 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5432-ПА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140,39</w:t>
            </w:r>
          </w:p>
        </w:tc>
      </w:tr>
      <w:tr w:rsidR="005348B2" w:rsidRPr="005348B2" w:rsidTr="005348B2">
        <w:trPr>
          <w:trHeight w:val="4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Кожуховская, д. 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5432-ПА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318,79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318,79</w:t>
            </w:r>
          </w:p>
        </w:tc>
      </w:tr>
      <w:tr w:rsidR="005348B2" w:rsidRPr="005348B2" w:rsidTr="005348B2">
        <w:trPr>
          <w:trHeight w:val="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59,75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59,75</w:t>
            </w:r>
          </w:p>
        </w:tc>
      </w:tr>
      <w:tr w:rsidR="005348B2" w:rsidRPr="005348B2" w:rsidTr="005348B2">
        <w:trPr>
          <w:trHeight w:val="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205,70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205,70</w:t>
            </w:r>
          </w:p>
        </w:tc>
      </w:tr>
      <w:tr w:rsidR="005348B2" w:rsidRPr="005348B2" w:rsidTr="005348B2">
        <w:trPr>
          <w:trHeight w:val="1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95,50</w:t>
            </w:r>
          </w:p>
        </w:tc>
      </w:tr>
      <w:tr w:rsidR="005348B2" w:rsidRPr="005348B2" w:rsidTr="005348B2">
        <w:trPr>
          <w:trHeight w:val="97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Красногорская, д. 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3650-ПА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09.08.2023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140,40</w:t>
            </w:r>
          </w:p>
        </w:tc>
      </w:tr>
      <w:tr w:rsidR="005348B2" w:rsidRPr="005348B2" w:rsidTr="005348B2">
        <w:trPr>
          <w:trHeight w:val="28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-н. Люберецкий, г. Люберцы, ул. Ленина, д. 52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4697-ПА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207,40</w:t>
            </w:r>
          </w:p>
        </w:tc>
      </w:tr>
      <w:tr w:rsidR="005348B2" w:rsidRPr="005348B2" w:rsidTr="005348B2">
        <w:trPr>
          <w:trHeight w:val="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п. </w:t>
            </w: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Малаховка, ул. Малаховская, д. 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513-ПА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612,56</w:t>
            </w:r>
          </w:p>
        </w:tc>
      </w:tr>
      <w:tr w:rsidR="005348B2" w:rsidRPr="005348B2" w:rsidTr="005348B2">
        <w:trPr>
          <w:trHeight w:val="5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Лесная, д. 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4462-ПА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268,20</w:t>
            </w:r>
          </w:p>
        </w:tc>
      </w:tr>
      <w:tr w:rsidR="005348B2" w:rsidRPr="005348B2" w:rsidTr="005348B2">
        <w:trPr>
          <w:trHeight w:val="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Советская, д. 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1978-ПА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48,20</w:t>
            </w:r>
          </w:p>
        </w:tc>
      </w:tr>
      <w:tr w:rsidR="005348B2" w:rsidRPr="005348B2" w:rsidTr="005348B2">
        <w:trPr>
          <w:trHeight w:val="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-н. Люберецкий, </w:t>
            </w:r>
            <w:proofErr w:type="spellStart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Октябрьский, ул. Фабричная, д. 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3390-ПА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26.07.2023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кв. 2028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8B2" w:rsidRPr="005348B2" w:rsidRDefault="005348B2" w:rsidP="005348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48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2 306,70</w:t>
            </w:r>
          </w:p>
        </w:tc>
      </w:tr>
    </w:tbl>
    <w:p w:rsidR="005348B2" w:rsidRPr="005348B2" w:rsidRDefault="005348B2" w:rsidP="005348B2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348B2" w:rsidRPr="005348B2" w:rsidRDefault="005348B2" w:rsidP="005348B2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0281B" w:rsidRPr="006926B0" w:rsidRDefault="0050281B" w:rsidP="005348B2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sz w:val="24"/>
          <w:szCs w:val="24"/>
        </w:rPr>
      </w:pPr>
    </w:p>
    <w:sectPr w:rsidR="0050281B" w:rsidRPr="006926B0" w:rsidSect="005348B2">
      <w:footerReference w:type="default" r:id="rId8"/>
      <w:pgSz w:w="16838" w:h="11906" w:orient="landscape"/>
      <w:pgMar w:top="567" w:right="567" w:bottom="284" w:left="1276" w:header="227" w:footer="0" w:gutter="34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B7" w:rsidRDefault="007A5EB7">
      <w:pPr>
        <w:spacing w:after="0" w:line="240" w:lineRule="auto"/>
      </w:pPr>
      <w:r>
        <w:separator/>
      </w:r>
    </w:p>
  </w:endnote>
  <w:endnote w:type="continuationSeparator" w:id="0">
    <w:p w:rsidR="007A5EB7" w:rsidRDefault="007A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990697"/>
      <w:docPartObj>
        <w:docPartGallery w:val="Page Numbers (Bottom of Page)"/>
        <w:docPartUnique/>
      </w:docPartObj>
    </w:sdtPr>
    <w:sdtContent>
      <w:p w:rsidR="0013687C" w:rsidRDefault="001368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0F4">
          <w:rPr>
            <w:noProof/>
          </w:rPr>
          <w:t>17</w:t>
        </w:r>
        <w:r>
          <w:fldChar w:fldCharType="end"/>
        </w:r>
      </w:p>
    </w:sdtContent>
  </w:sdt>
  <w:p w:rsidR="0013687C" w:rsidRDefault="001368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B7" w:rsidRDefault="007A5EB7">
      <w:pPr>
        <w:spacing w:after="0" w:line="240" w:lineRule="auto"/>
      </w:pPr>
      <w:r>
        <w:separator/>
      </w:r>
    </w:p>
  </w:footnote>
  <w:footnote w:type="continuationSeparator" w:id="0">
    <w:p w:rsidR="007A5EB7" w:rsidRDefault="007A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8C"/>
    <w:rsid w:val="00066139"/>
    <w:rsid w:val="000C3031"/>
    <w:rsid w:val="0013687C"/>
    <w:rsid w:val="001E64C6"/>
    <w:rsid w:val="00377ECD"/>
    <w:rsid w:val="003B588C"/>
    <w:rsid w:val="0050281B"/>
    <w:rsid w:val="00533E2F"/>
    <w:rsid w:val="005348B2"/>
    <w:rsid w:val="00586ECC"/>
    <w:rsid w:val="006926B0"/>
    <w:rsid w:val="00792C00"/>
    <w:rsid w:val="007A5EB7"/>
    <w:rsid w:val="008146F9"/>
    <w:rsid w:val="009230F4"/>
    <w:rsid w:val="00977A8F"/>
    <w:rsid w:val="00A41866"/>
    <w:rsid w:val="00B55BED"/>
    <w:rsid w:val="00BE266B"/>
    <w:rsid w:val="00D6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932B-DFC9-4F95-A06D-BC7011E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58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B588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B588C"/>
    <w:rPr>
      <w:rFonts w:ascii="Calibri" w:eastAsia="Times New Roman" w:hAnsi="Calibri" w:cs="Times New Roman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6926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692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6926B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348B2"/>
  </w:style>
  <w:style w:type="character" w:styleId="a6">
    <w:name w:val="Hyperlink"/>
    <w:basedOn w:val="a0"/>
    <w:uiPriority w:val="99"/>
    <w:semiHidden/>
    <w:unhideWhenUsed/>
    <w:rsid w:val="005348B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48B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48B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48B2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348B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2"/>
    <w:basedOn w:val="a1"/>
    <w:uiPriority w:val="59"/>
    <w:rsid w:val="005348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5348B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7</cp:revision>
  <dcterms:created xsi:type="dcterms:W3CDTF">2024-10-03T14:41:00Z</dcterms:created>
  <dcterms:modified xsi:type="dcterms:W3CDTF">2024-10-04T13:23:00Z</dcterms:modified>
</cp:coreProperties>
</file>