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z w:val="24"/>
          <w:szCs w:val="24"/>
        </w:rPr>
        <w:t xml:space="preserve">АДМИНИСТРАЦИЯ</w:t>
      </w:r>
      <w:r>
        <w:rPr>
          <w:rFonts w:ascii="Arial" w:hAnsi="Arial" w:cs="Arial" w:eastAsia="Arial"/>
          <w:b/>
          <w:bCs/>
          <w:sz w:val="24"/>
          <w:szCs w:val="24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pacing w:val="10"/>
          <w:sz w:val="24"/>
          <w:szCs w:val="24"/>
        </w:rPr>
        <w:t xml:space="preserve">МУНИЦИПАЛЬНОГО ОБРАЗОВАНИЯ</w:t>
      </w:r>
      <w:r>
        <w:rPr>
          <w:rFonts w:ascii="Arial" w:hAnsi="Arial" w:cs="Arial" w:eastAsia="Arial"/>
          <w:b/>
          <w:bCs/>
          <w:spacing w:val="10"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pacing w:val="10"/>
          <w:sz w:val="24"/>
          <w:szCs w:val="24"/>
        </w:rPr>
        <w:t xml:space="preserve">ГОРОДСКОЙ ОКРУГ ЛЮБЕРЦЫ</w:t>
      </w:r>
      <w:r>
        <w:rPr>
          <w:rFonts w:ascii="Arial" w:hAnsi="Arial" w:cs="Arial" w:eastAsia="Arial"/>
          <w:b/>
          <w:bCs/>
          <w:spacing w:val="10"/>
          <w:sz w:val="24"/>
          <w:szCs w:val="24"/>
          <w:lang w:val="ru-RU" w:bidi="ru-RU"/>
        </w:rPr>
        <w:br/>
      </w:r>
      <w:r>
        <w:rPr>
          <w:rFonts w:ascii="Arial" w:hAnsi="Arial" w:cs="Arial" w:eastAsia="Arial"/>
          <w:b/>
          <w:bCs/>
          <w:spacing w:val="10"/>
          <w:sz w:val="24"/>
          <w:szCs w:val="24"/>
        </w:rPr>
        <w:t xml:space="preserve">МОСКОВСКОЙ ОБЛАСТИ</w:t>
      </w:r>
      <w:r>
        <w:rPr>
          <w:rFonts w:ascii="Arial" w:hAnsi="Arial" w:cs="Arial" w:eastAsia="Arial"/>
          <w:b/>
          <w:bCs/>
          <w:spacing w:val="10"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100" w:lineRule="atLeast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100" w:lineRule="atLeast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ПОСТАНОВЛЕНИЕ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-567" w:right="0" w:firstLine="0"/>
        <w:jc w:val="left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-567" w:right="0" w:firstLine="0"/>
        <w:jc w:val="left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left"/>
        <w:spacing w:before="0" w:after="0" w:line="240" w:lineRule="auto"/>
        <w:tabs>
          <w:tab w:val="left" w:pos="9639" w:leader="none"/>
        </w:tabs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04.07.2022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                                                                                                            </w:t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№ 2649-ПА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-567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г. Люберцы</w:t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8"/>
          <w:szCs w:val="28"/>
          <w:lang w:val="ru-RU" w:bidi="ru-RU"/>
        </w:rPr>
      </w:r>
      <w:r>
        <w:rPr>
          <w:rFonts w:ascii="Arial" w:hAnsi="Arial" w:cs="Arial" w:eastAsia="Arial"/>
          <w:b/>
          <w:bCs/>
          <w:sz w:val="28"/>
          <w:szCs w:val="28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  <w:t xml:space="preserve">О внесении изменений в Перечень объектов муниципальной собственности, находящихся в неудовлетворительном состоянии, утвержденный Постановлением администрации городского округа Люберцы Московской области от 17.05.2018 № 1811-ПА </w:t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>
        <w:rPr>
          <w:rFonts w:ascii="Arial" w:hAnsi="Arial" w:cs="Arial" w:eastAsia="Arial"/>
          <w:b/>
          <w:bCs/>
          <w:sz w:val="24"/>
          <w:szCs w:val="24"/>
          <w:lang w:val="ru-RU" w:bidi="ru-RU"/>
        </w:rPr>
      </w:r>
      <w:r/>
    </w:p>
    <w:p>
      <w:pPr>
        <w:pStyle w:val="816"/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ской области, 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осковской области, в перечень объектов муниципальной собственности, находящихся в неудовлетворительном состоянии», Распоряжением Главы муниципального образования городской округ Люберцы Московской области  от 18.05.2022 № 05-РГ «О наделении полномочиями Пе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рвого заместителя Главы администрации», техническим заключением по результатам обследования здания нежилого назначения, расположенного по адресу: Московская область, г.о.Люберцы, рп Малаховка, ул.Интернациональная, д.17, техническим заключением по результа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там обследования нежилого здания, общей площадью 612,6 кв.м, расположенного по адресу: Московская область, г.о. Люберцы, дп Красково, ул.Железнодорожная, дом 6, изготовленными индивидуальным предпринимателем Стаховским Дмитрием Владимировичем, постановляю: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pStyle w:val="816"/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pStyle w:val="634"/>
        <w:ind w:left="0" w:right="0" w:firstLine="708"/>
        <w:jc w:val="both"/>
        <w:keepNext/>
        <w:spacing w:before="0" w:after="0" w:line="240" w:lineRule="auto"/>
        <w:rPr>
          <w:rFonts w:ascii="Arial" w:hAnsi="Arial" w:cs="Arial" w:eastAsia="Arial"/>
          <w:lang w:val="ru-RU" w:bidi="ru-RU"/>
        </w:rPr>
        <w:outlineLvl w:val="0"/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1. Внести изменения в Перечень объектов муницип</w:t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дополнив его пунктами 14, 15 следующего содержания: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left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left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tbl>
      <w:tblPr>
        <w:tblStyle w:val="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№№ п/п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Номер в реестре имущества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Наименование объекта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Местонахождение объекта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Общая площадь кв.м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Н116.015272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Нежилое здание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Московская область,       р-н Люберецкий,               рп Малаховка, ул.Интернациональная, дом 17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75,8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Н116.017232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Нежилое здание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Московская область,      р-н Люберецкий,                    дп Красково, ул.Железнодорожная, д.6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Arial" w:hAnsi="Arial" w:cs="Arial" w:eastAsia="Arial"/>
                <w:sz w:val="24"/>
                <w:szCs w:val="24"/>
                <w:lang w:val="ru-RU" w:bidi="ru-RU"/>
              </w:rPr>
              <w:t xml:space="preserve">612,6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3. Контроль за исполнением настоящего Постановления возложить на заместителя Главы администрации Сырова А.Н.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Первый заместитель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  <w:t xml:space="preserve">Главы администрации</w:t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ab/>
      </w:r>
      <w:r>
        <w:rPr>
          <w:rFonts w:ascii="Arial" w:hAnsi="Arial" w:cs="Arial" w:eastAsia="Arial"/>
          <w:sz w:val="24"/>
          <w:szCs w:val="24"/>
          <w:lang w:val="ru-RU" w:bidi="ru-RU"/>
        </w:rPr>
        <w:t xml:space="preserve">   В.М.Волков</w:t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Arial" w:hAnsi="Arial" w:cs="Arial" w:eastAsia="Arial"/>
          <w:lang w:val="ru-RU" w:bidi="ru-RU"/>
        </w:rPr>
      </w:pPr>
      <w:r>
        <w:rPr>
          <w:rFonts w:ascii="Arial" w:hAnsi="Arial" w:cs="Arial" w:eastAsia="Arial"/>
          <w:sz w:val="24"/>
          <w:szCs w:val="24"/>
          <w:lang w:val="ru-RU" w:bidi="ru-RU"/>
        </w:rPr>
      </w:r>
      <w:r>
        <w:rPr>
          <w:rFonts w:ascii="Arial" w:hAnsi="Arial" w:cs="Arial" w:eastAsia="Arial"/>
          <w:sz w:val="24"/>
          <w:szCs w:val="24"/>
          <w:lang w:val="ru-RU" w:bidi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rtl w:val="false"/>
      <w:cs w:val="false"/>
      <w:lang w:val="ru-RU" w:bidi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2022-07-12T12:43:06Z</dcterms:modified>
</cp:coreProperties>
</file>