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auto"/>
        <w:spacing w:before="0" w:after="292"/>
        <w:ind w:right="40" w:hanging="0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 w:bidi="ru-RU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27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7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2553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44"/>
        <w:shd w:val="clear" w:color="auto" w:fill="auto"/>
        <w:spacing w:before="0" w:after="292"/>
        <w:ind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Об определении управляющей организации </w:t>
        <w:br/>
      </w:r>
      <w:r>
        <w:rPr>
          <w:rFonts w:ascii="Arial" w:hAnsi="Arial"/>
          <w:sz w:val="24"/>
          <w:szCs w:val="24"/>
        </w:rPr>
        <w:t xml:space="preserve">ООО «УК Служба Коммунальных Услуг»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для  управления многоквартирными домами</w:t>
      </w:r>
    </w:p>
    <w:p>
      <w:pPr>
        <w:pStyle w:val="214"/>
        <w:shd w:val="clear" w:color="auto" w:fill="auto"/>
        <w:spacing w:before="0" w:after="296"/>
        <w:ind w:firstLine="66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  <w:br/>
        <w:t>«Об общих принципах организации местного самоуправления в Российской Федерации», Постановлением Правительства Российской Федерации                              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«Об утверждении перечня организаций для управления многоквартирными домами, расположенными на территории городского округа Люберцы,  в отношении которых собственниками помещений в многоквартирных домах              не выбран способ управления такими домами или выбранный способ управления не реализован, не определена управляющая организация», Распоряжения администрации городского округа Люберцы от 27.07.2021 № 56-РА «О наделении полномочиями заместителя Главы администрации Власова Василия Ивановича»,  с целью организации комфортных и безопасных условий проживания на территории городского округа Люберцы, постановляю:</w:t>
      </w:r>
    </w:p>
    <w:p>
      <w:pPr>
        <w:pStyle w:val="44"/>
        <w:shd w:val="clear" w:color="auto" w:fill="auto"/>
        <w:spacing w:lineRule="auto" w:line="240" w:before="0" w:after="0"/>
        <w:ind w:right="40" w:firstLine="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1.  Определить ООО  </w:t>
      </w:r>
      <w:r>
        <w:rPr>
          <w:rFonts w:ascii="Arial" w:hAnsi="Arial"/>
          <w:b w:val="false"/>
          <w:sz w:val="24"/>
          <w:szCs w:val="24"/>
        </w:rPr>
        <w:t xml:space="preserve">«УК Служба Коммунальных Услуг»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на срок не более одного года, в качестве управляющей организации для управления многоквартирными домами, указанными в приложении к настоящему Постановлению, в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отношении </w:t>
      </w:r>
      <w:r>
        <w:rPr>
          <w:rFonts w:ascii="Arial" w:hAnsi="Arial"/>
          <w:b w:val="false"/>
          <w:sz w:val="24"/>
          <w:szCs w:val="24"/>
        </w:rPr>
        <w:t xml:space="preserve">которого собственниками помещений не выбран способ управления таким домом или выбранный способ управления </w:t>
        <w:br/>
        <w:t>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проведенного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3. На период действия настоящего Постановления управляющей организации ООО «УК Служба Коммунальных Услуг» обеспечить выполнение работ и (или) услуг по управлению многоквартирным домом, услуг и работ </w:t>
        <w:br/>
        <w:t xml:space="preserve"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</w:t>
        <w:br/>
        <w:t xml:space="preserve">для обеспечения надлежащего содержания общего имущества </w:t>
        <w:br/>
        <w:t xml:space="preserve">в многоквартирном доме, утвержденном Постановлением Правительства Российской Федерации от 03.04.2013 № 290 «О минимальном перечне услуг </w:t>
        <w:br/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 Управлению жилищно-коммунального хозяйства (Караваев В.М.) совместно с ООО «УК Служба Коммунальных Услуг» в течение 5 рабочих дней со дня издания настоящего Постановления уведомить о принятом решении собственников помещений в многоквартирных  домах, указанных в приложении к настоящему Постановлению.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6. Контроль за исполнением настоящего Постановления оставляю </w:t>
        <w:br/>
        <w:t>за собой.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Заместитель Главы администрации </w:t>
        <w:tab/>
        <w:tab/>
        <w:tab/>
        <w:tab/>
        <w:tab/>
        <w:t xml:space="preserve">     В.И. Власов </w:t>
      </w:r>
    </w:p>
    <w:p>
      <w:pPr>
        <w:pStyle w:val="Normal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Приложение к</w:t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Постановлению администрации городского округа Люберцы</w:t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27.07.2021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№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>2553-ПА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многоквартирных домов, расположенных на территории городского округа Люберцы, в отношении которых назначается временная управляющая компания ООО «УК Служба Коммунальных Услуг»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tbl>
      <w:tblPr>
        <w:tblW w:w="10065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5"/>
      </w:tblGrid>
      <w:tr>
        <w:trPr>
          <w:trHeight w:val="315" w:hRule="atLeast"/>
        </w:trPr>
        <w:tc>
          <w:tcPr>
            <w:tcW w:w="100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Адрес МКД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0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</w:t>
            </w:r>
            <w:r>
              <w:rPr>
                <w:rFonts w:eastAsia="Courier New" w:cs="Courier New" w:ascii="Arial" w:hAnsi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Жилино-2п, дом №7А; Московская область, городской округ Люберцы, рп.Томилино,</w:t>
            </w:r>
            <w:r>
              <w:rPr>
                <w:rFonts w:eastAsia="Courier New" w:cs="Courier New" w:ascii="Arial" w:hAnsi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Жилино-2п, дом №39/2;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Жуковского ул,          дом №21;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Жуковского ул,            дом №14;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Пушкина ул, дом №8; Московская область, городской округ Люберцы, рп.Томилино, Пушкина ул, дом №18; Московская область, городской округ Люберцы, рп.Томилино, Пушкина ул, дом №31; Московская область, городской округ Люберцы, рп.Томилино, Пушкина ул, дом №39; Московская область, городской округ Люберцы, рп.Томилино, Пушкина ул, дом №43; Московская область, городской округ Люберцы, рп.Томилино, Пушкина ул, дом №45; Московская область, городской округ Люберцы, рп.Томилино, Пушкина ул, дом №55;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рп.Егорово, Центральная ул, дом №3; Московская область, городской округ Люберцы, рп.Егорово, Лесная ул, дом №3А;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Брюсова ул, дом№24;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Гоголя ул, дом №6; Московская область, городской округ Люберцы, рп.Томилино, Гоголя ул, дом №18;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Грибоедова ул, дом №3;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Гончарова ул, дом №6;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</w:t>
            </w:r>
            <w:r>
              <w:rPr>
                <w:rFonts w:eastAsia="Courier New" w:cs="Courier New" w:ascii="Arial" w:hAnsi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Горбунова проезд,            дом №5;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Демьяна Бедного ул,            дом №7;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Демьяна Бедного ул,        дом №15;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Добролюбова ул,         дом №3;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Достоевского ул,               дом №4; Московская область, городской округ Люберцы,р п.Томилино, Достоевского ул, дом №5;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Карамзина ул, дом №11; Московская область, городской округ Люберцы,рп.Томилино, Карамзина ул, дом №24;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Кирилловка ул, дом №82;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Лермонтова ул, дом №5;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Ломоносова ул,             дом №29;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Ломоносова ул, дом №46;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Некрасова ул, дом №10;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Никитина ул,              дом №16А;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городской округ Люберцы, рп.Томилино, Островского ул,            дом №23;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рп.Томилино,Островского ул, дом №24;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Потехина ул, дом №1А; Московская область, городской округ Люберцы, рп.Томилино, Потехина ул, дом №6; Московская область, городской округ Люберцы, рп.Томилино, Потехина ул, дом №8;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Серафимовича ул,             дом №1;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Фурманова ул, дом №12;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  <w:t>Московская область, городской округ Люберцы, рп.Томилино, Чехова ул, дом №7; Московская область, городской округ Люберцы, рп.Томилино,Чехова ул, дом №12; Московская область, городской округ Люберцы, рп.Томилино,Чехова ул, дом №13.</w:t>
            </w:r>
          </w:p>
        </w:tc>
      </w:tr>
      <w:tr>
        <w:trPr>
          <w:trHeight w:val="315" w:hRule="atLeast"/>
        </w:trPr>
        <w:tc>
          <w:tcPr>
            <w:tcW w:w="1006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 w:cs="Times New Roman" w:ascii="Arial" w:hAnsi="Arial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Основной текст (4)_"/>
    <w:basedOn w:val="DefaultParagraphFont"/>
    <w:link w:val="4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" w:customStyle="1">
    <w:name w:val="Основной текст (2)_"/>
    <w:basedOn w:val="DefaultParagraphFont"/>
    <w:link w:val="2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51" w:customStyle="1">
    <w:name w:val="Основной текст (5)"/>
    <w:basedOn w:val="DefaultParagraphFont"/>
    <w:qFormat/>
    <w:rsid w:val="002f4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Style5" w:customStyle="1">
    <w:name w:val="Текст выноски Знак"/>
    <w:basedOn w:val="DefaultParagraphFont"/>
    <w:link w:val="a3"/>
    <w:uiPriority w:val="99"/>
    <w:semiHidden/>
    <w:qFormat/>
    <w:rsid w:val="00044320"/>
    <w:rPr>
      <w:rFonts w:ascii="Tahoma" w:hAnsi="Tahoma" w:cs="Tahoma"/>
      <w:sz w:val="16"/>
      <w:szCs w:val="16"/>
    </w:rPr>
  </w:style>
  <w:style w:type="character" w:styleId="FontStyle11" w:customStyle="1">
    <w:name w:val="Font Style11"/>
    <w:qFormat/>
    <w:rsid w:val="00470ef0"/>
    <w:rPr>
      <w:rFonts w:ascii="Times New Roman" w:hAnsi="Times New Roman" w:cs="Times New Roman"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6">
    <w:name w:val="Основной шрифт абзаца"/>
    <w:qFormat/>
    <w:rPr/>
  </w:style>
  <w:style w:type="character" w:styleId="Style7">
    <w:name w:val="Название Знак"/>
    <w:qFormat/>
    <w:rPr>
      <w:sz w:val="28"/>
      <w:lang w:val="ru-RU"/>
    </w:rPr>
  </w:style>
  <w:style w:type="character" w:styleId="52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8">
    <w:name w:val="Интернет-ссылка"/>
    <w:rPr>
      <w:color w:val="0000FF"/>
      <w:u w:val="single"/>
    </w:rPr>
  </w:style>
  <w:style w:type="character" w:styleId="Style9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2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1">
    <w:name w:val="Заголовок 3 Знак"/>
    <w:qFormat/>
    <w:rPr>
      <w:sz w:val="28"/>
    </w:rPr>
  </w:style>
  <w:style w:type="character" w:styleId="42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">
    <w:name w:val="Заголовок 2 Знак3"/>
    <w:qFormat/>
    <w:rPr>
      <w:sz w:val="24"/>
    </w:rPr>
  </w:style>
  <w:style w:type="character" w:styleId="Style11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4">
    <w:name w:val="Номер страницы"/>
    <w:rPr/>
  </w:style>
  <w:style w:type="character" w:styleId="43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5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6">
    <w:name w:val="Красная строка Знак"/>
    <w:qFormat/>
    <w:rPr>
      <w:b w:val="false"/>
      <w:spacing w:val="40"/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7">
    <w:name w:val="Посещённая гиперссылка"/>
    <w:rPr>
      <w:color w:val="800080"/>
      <w:u w:val="single"/>
    </w:rPr>
  </w:style>
  <w:style w:type="character" w:styleId="Style18">
    <w:name w:val="Символ сноски"/>
    <w:qFormat/>
    <w:rPr>
      <w:vertAlign w:val="superscript"/>
    </w:rPr>
  </w:style>
  <w:style w:type="character" w:styleId="Style19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0">
    <w:name w:val="Текст примечания Знак"/>
    <w:qFormat/>
    <w:rPr>
      <w:rFonts w:ascii="Calibri" w:hAnsi="Calibri" w:eastAsia="Calibri" w:cs="Calibri"/>
    </w:rPr>
  </w:style>
  <w:style w:type="character" w:styleId="Style21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2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3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4">
    <w:name w:val="Цветовое выделение"/>
    <w:qFormat/>
    <w:rPr>
      <w:b/>
      <w:color w:val="000080"/>
      <w:sz w:val="20"/>
    </w:rPr>
  </w:style>
  <w:style w:type="character" w:styleId="Style25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6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7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1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3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3"/>
    <w:qFormat/>
    <w:rPr/>
  </w:style>
  <w:style w:type="character" w:styleId="Applestylespan">
    <w:name w:val="apple-style-span"/>
    <w:qFormat/>
    <w:rPr/>
  </w:style>
  <w:style w:type="character" w:styleId="Style28">
    <w:name w:val="Знак примечания"/>
    <w:qFormat/>
    <w:rPr>
      <w:sz w:val="16"/>
      <w:szCs w:val="16"/>
    </w:rPr>
  </w:style>
  <w:style w:type="character" w:styleId="Style29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0">
    <w:name w:val="Символ концевой сноски"/>
    <w:qFormat/>
    <w:rPr>
      <w:vertAlign w:val="superscript"/>
    </w:rPr>
  </w:style>
  <w:style w:type="character" w:styleId="Style31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2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Style33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44" w:customStyle="1">
    <w:name w:val="Основной текст (4)"/>
    <w:basedOn w:val="Normal"/>
    <w:link w:val="4"/>
    <w:qFormat/>
    <w:rsid w:val="002f47f6"/>
    <w:pPr>
      <w:widowControl w:val="false"/>
      <w:shd w:val="clear" w:color="auto" w:fill="FFFFFF"/>
      <w:spacing w:lineRule="exact" w:line="312" w:before="900" w:after="3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4" w:customStyle="1">
    <w:name w:val="Основной текст (2)"/>
    <w:basedOn w:val="Normal"/>
    <w:link w:val="2"/>
    <w:qFormat/>
    <w:rsid w:val="002f47f6"/>
    <w:pPr>
      <w:widowControl w:val="false"/>
      <w:shd w:val="clear" w:color="auto" w:fill="FFFFFF"/>
      <w:spacing w:lineRule="exact" w:line="322" w:before="300" w:after="30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443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39">
    <w:name w:val="Заголовок бланка"/>
    <w:next w:val="Style42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0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76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1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2">
    <w:name w:val="Подзаголовок бданка"/>
    <w:next w:val="Style40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76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3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46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47">
    <w:name w:val="МУ Обычный стиль"/>
    <w:basedOn w:val="Normal"/>
    <w:qFormat/>
    <w:pPr>
      <w:widowControl w:val="false"/>
      <w:numPr>
        <w:ilvl w:val="0"/>
        <w:numId w:val="6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8">
    <w:name w:val="Footnote Text"/>
    <w:basedOn w:val="Normal"/>
    <w:pPr>
      <w:suppressAutoHyphens w:val="true"/>
    </w:pPr>
    <w:rPr>
      <w:sz w:val="20"/>
    </w:rPr>
  </w:style>
  <w:style w:type="paragraph" w:styleId="Style49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0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2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3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4">
    <w:name w:val="Обычный (веб)"/>
    <w:basedOn w:val="Normal"/>
    <w:qFormat/>
    <w:pPr/>
    <w:rPr>
      <w:szCs w:val="24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56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57">
    <w:name w:val="Тема примечания"/>
    <w:basedOn w:val="Style56"/>
    <w:next w:val="Style56"/>
    <w:qFormat/>
    <w:pPr/>
    <w:rPr>
      <w:b/>
      <w:bCs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7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58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9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59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0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20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1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2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3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4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5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66">
    <w:name w:val="Подпись на общем бланке"/>
    <w:basedOn w:val="Style52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67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68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69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19">
    <w:name w:val="Стиль1"/>
    <w:basedOn w:val="Style53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0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4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1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49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6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0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5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4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2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7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3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4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5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8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7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7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76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77">
    <w:name w:val="Рег. Списки числовый"/>
    <w:basedOn w:val="1212"/>
    <w:qFormat/>
    <w:pPr>
      <w:numPr>
        <w:ilvl w:val="0"/>
        <w:numId w:val="5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78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79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29">
    <w:name w:val="Рег. Списки 1)"/>
    <w:basedOn w:val="Style79"/>
    <w:qFormat/>
    <w:pPr>
      <w:numPr>
        <w:ilvl w:val="0"/>
        <w:numId w:val="4"/>
      </w:numPr>
      <w:ind w:left="644" w:right="0" w:hanging="0"/>
    </w:pPr>
    <w:rPr/>
  </w:style>
  <w:style w:type="paragraph" w:styleId="130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Списки одного уровня: а) б) в)"/>
    <w:basedOn w:val="130"/>
    <w:qFormat/>
    <w:pPr>
      <w:numPr>
        <w:ilvl w:val="0"/>
        <w:numId w:val="2"/>
      </w:numPr>
    </w:pPr>
    <w:rPr/>
  </w:style>
  <w:style w:type="paragraph" w:styleId="Style81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1">
    <w:name w:val="Рег. Основной нумерованный 1. текст"/>
    <w:basedOn w:val="ConsPlusNormal1"/>
    <w:qFormat/>
    <w:pPr>
      <w:numPr>
        <w:ilvl w:val="0"/>
        <w:numId w:val="3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3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4">
    <w:name w:val="РегламентГПЗУ"/>
    <w:basedOn w:val="Style75"/>
    <w:qFormat/>
    <w:pPr>
      <w:numPr>
        <w:ilvl w:val="0"/>
        <w:numId w:val="8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4"/>
    <w:qFormat/>
    <w:pPr>
      <w:numPr>
        <w:ilvl w:val="0"/>
        <w:numId w:val="8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2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3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4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32">
    <w:name w:val="Основной текст1"/>
    <w:basedOn w:val="Normal"/>
    <w:qFormat/>
    <w:pPr>
      <w:widowControl w:val="false"/>
      <w:shd w:fill="FFFFFF" w:val="clear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Neat_Office/6.2.8.2$Windows_x86 LibreOffice_project/</Application>
  <Pages>3</Pages>
  <Words>954</Words>
  <Characters>6902</Characters>
  <CharactersWithSpaces>8016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2022-01-14T07:14:00Z</dcterms:created>
  <dc:creator>GHOST</dc:creator>
  <dc:description/>
  <dc:language>ru-RU</dc:language>
  <cp:lastModifiedBy/>
  <cp:lastPrinted>2021-07-27T11:19:00Z</cp:lastPrinted>
  <dcterms:modified xsi:type="dcterms:W3CDTF">2022-01-24T14:22:06Z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