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9F" w:rsidRPr="00B466A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>АДМИНИСТРАЦИЯ</w:t>
      </w:r>
    </w:p>
    <w:p w:rsidR="0061169F" w:rsidRPr="00B466A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B466AF" w:rsidRPr="00B466A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:rsidR="0061169F" w:rsidRPr="00B466A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61169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</w:p>
    <w:bookmarkEnd w:id="0"/>
    <w:p w:rsidR="00AB1EF2" w:rsidRPr="00AB1EF2" w:rsidRDefault="00AB1EF2" w:rsidP="0061169F">
      <w:pPr>
        <w:pStyle w:val="ConsPlusTitle"/>
        <w:jc w:val="center"/>
        <w:rPr>
          <w:rFonts w:ascii="Arial" w:hAnsi="Arial" w:cs="Arial"/>
          <w:b w:val="0"/>
          <w:sz w:val="28"/>
          <w:szCs w:val="28"/>
        </w:rPr>
      </w:pPr>
      <w:r w:rsidRPr="00AB1EF2">
        <w:rPr>
          <w:rFonts w:ascii="Arial" w:hAnsi="Arial" w:cs="Arial"/>
          <w:b w:val="0"/>
          <w:sz w:val="28"/>
          <w:szCs w:val="28"/>
        </w:rPr>
        <w:t>ПОСТАНОВЛЕНИЕ</w:t>
      </w:r>
    </w:p>
    <w:p w:rsidR="00AB1EF2" w:rsidRPr="00B466AF" w:rsidRDefault="00AB1EF2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1169F" w:rsidRPr="00B466AF" w:rsidRDefault="004A1361" w:rsidP="0061169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>09</w:t>
      </w:r>
      <w:r w:rsidR="0061169F" w:rsidRPr="00B466AF">
        <w:rPr>
          <w:rFonts w:ascii="Arial" w:hAnsi="Arial" w:cs="Arial"/>
          <w:b w:val="0"/>
          <w:sz w:val="24"/>
          <w:szCs w:val="24"/>
        </w:rPr>
        <w:t>.</w:t>
      </w:r>
      <w:r w:rsidRPr="00B466AF">
        <w:rPr>
          <w:rFonts w:ascii="Arial" w:hAnsi="Arial" w:cs="Arial"/>
          <w:b w:val="0"/>
          <w:sz w:val="24"/>
          <w:szCs w:val="24"/>
        </w:rPr>
        <w:t>01</w:t>
      </w:r>
      <w:r w:rsidR="0061169F" w:rsidRPr="00B466AF">
        <w:rPr>
          <w:rFonts w:ascii="Arial" w:hAnsi="Arial" w:cs="Arial"/>
          <w:b w:val="0"/>
          <w:sz w:val="24"/>
          <w:szCs w:val="24"/>
        </w:rPr>
        <w:t xml:space="preserve">.2023                                                                                                       № </w:t>
      </w:r>
      <w:r w:rsidRPr="00B466AF">
        <w:rPr>
          <w:rFonts w:ascii="Arial" w:hAnsi="Arial" w:cs="Arial"/>
          <w:b w:val="0"/>
          <w:sz w:val="24"/>
          <w:szCs w:val="24"/>
        </w:rPr>
        <w:t>18</w:t>
      </w:r>
      <w:r w:rsidR="0061169F" w:rsidRPr="00B466AF">
        <w:rPr>
          <w:rFonts w:ascii="Arial" w:hAnsi="Arial" w:cs="Arial"/>
          <w:b w:val="0"/>
          <w:sz w:val="24"/>
          <w:szCs w:val="24"/>
        </w:rPr>
        <w:t>-ПА</w:t>
      </w:r>
    </w:p>
    <w:p w:rsidR="0061169F" w:rsidRPr="00B466AF" w:rsidRDefault="0061169F" w:rsidP="006116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B5AC6" w:rsidRPr="00AB1EF2" w:rsidRDefault="0061169F" w:rsidP="00AB1EF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466AF">
        <w:rPr>
          <w:rFonts w:ascii="Arial" w:hAnsi="Arial" w:cs="Arial"/>
          <w:b w:val="0"/>
          <w:sz w:val="24"/>
          <w:szCs w:val="24"/>
        </w:rPr>
        <w:t>г. Люберцы</w:t>
      </w:r>
    </w:p>
    <w:p w:rsidR="00AB1EF2" w:rsidRPr="0061169F" w:rsidRDefault="00AB1EF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07E97" w:rsidRPr="0061169F" w:rsidRDefault="00E07E97" w:rsidP="005330C2">
      <w:pPr>
        <w:pStyle w:val="ConsPlusTitle"/>
        <w:ind w:left="-284"/>
        <w:jc w:val="center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О внесении изменений в </w:t>
      </w:r>
      <w:hyperlink w:anchor="P35" w:history="1">
        <w:r w:rsidRPr="0061169F">
          <w:rPr>
            <w:rFonts w:ascii="Arial" w:hAnsi="Arial" w:cs="Arial"/>
            <w:sz w:val="24"/>
            <w:szCs w:val="24"/>
          </w:rPr>
          <w:t>Правила</w:t>
        </w:r>
      </w:hyperlink>
      <w:r w:rsidRPr="0061169F">
        <w:rPr>
          <w:rFonts w:ascii="Arial" w:hAnsi="Arial" w:cs="Arial"/>
          <w:sz w:val="24"/>
          <w:szCs w:val="24"/>
        </w:rPr>
        <w:t xml:space="preserve"> определения требований </w:t>
      </w:r>
    </w:p>
    <w:p w:rsidR="00B33290" w:rsidRPr="0061169F" w:rsidRDefault="00E07E97" w:rsidP="00B33290">
      <w:pPr>
        <w:pStyle w:val="ConsPlusTitle"/>
        <w:ind w:left="-284"/>
        <w:jc w:val="center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городского округа Люберцы Московской области от 06.12.2022 № 4995-ПА </w:t>
      </w:r>
    </w:p>
    <w:p w:rsidR="00F944C9" w:rsidRPr="0061169F" w:rsidRDefault="00F944C9" w:rsidP="005330C2">
      <w:pPr>
        <w:pStyle w:val="ConsPlusTitle"/>
        <w:ind w:left="-284"/>
        <w:jc w:val="center"/>
        <w:rPr>
          <w:rFonts w:ascii="Arial" w:hAnsi="Arial" w:cs="Arial"/>
          <w:sz w:val="24"/>
          <w:szCs w:val="24"/>
        </w:rPr>
      </w:pPr>
    </w:p>
    <w:p w:rsidR="009B5AC6" w:rsidRPr="0061169F" w:rsidRDefault="009B5AC6" w:rsidP="005330C2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61169F">
        <w:rPr>
          <w:rFonts w:ascii="Arial" w:hAnsi="Arial" w:cs="Arial"/>
          <w:b w:val="0"/>
          <w:sz w:val="24"/>
          <w:szCs w:val="24"/>
        </w:rPr>
        <w:t>В соответствии с</w:t>
      </w:r>
      <w:r w:rsidR="005136F0" w:rsidRPr="0061169F">
        <w:rPr>
          <w:rFonts w:ascii="Arial" w:hAnsi="Arial" w:cs="Arial"/>
          <w:b w:val="0"/>
          <w:sz w:val="24"/>
          <w:szCs w:val="24"/>
        </w:rPr>
        <w:t>о ст. 19</w:t>
      </w:r>
      <w:r w:rsidRPr="0061169F">
        <w:rPr>
          <w:rFonts w:ascii="Arial" w:hAnsi="Arial" w:cs="Arial"/>
          <w:b w:val="0"/>
          <w:sz w:val="24"/>
          <w:szCs w:val="24"/>
        </w:rPr>
        <w:t xml:space="preserve"> Федеральн</w:t>
      </w:r>
      <w:r w:rsidR="005136F0" w:rsidRPr="0061169F">
        <w:rPr>
          <w:rFonts w:ascii="Arial" w:hAnsi="Arial" w:cs="Arial"/>
          <w:b w:val="0"/>
          <w:sz w:val="24"/>
          <w:szCs w:val="24"/>
        </w:rPr>
        <w:t>ого</w:t>
      </w:r>
      <w:r w:rsidRPr="0061169F">
        <w:rPr>
          <w:rFonts w:ascii="Arial" w:hAnsi="Arial" w:cs="Arial"/>
          <w:b w:val="0"/>
          <w:sz w:val="24"/>
          <w:szCs w:val="24"/>
        </w:rPr>
        <w:t xml:space="preserve"> </w:t>
      </w:r>
      <w:hyperlink r:id="rId7" w:history="1">
        <w:proofErr w:type="gramStart"/>
        <w:r w:rsidR="005136F0" w:rsidRPr="0061169F">
          <w:rPr>
            <w:rFonts w:ascii="Arial" w:hAnsi="Arial" w:cs="Arial"/>
            <w:b w:val="0"/>
            <w:sz w:val="24"/>
            <w:szCs w:val="24"/>
          </w:rPr>
          <w:t>зако</w:t>
        </w:r>
      </w:hyperlink>
      <w:r w:rsidR="005136F0" w:rsidRPr="0061169F">
        <w:rPr>
          <w:rFonts w:ascii="Arial" w:hAnsi="Arial" w:cs="Arial"/>
          <w:b w:val="0"/>
          <w:sz w:val="24"/>
          <w:szCs w:val="24"/>
        </w:rPr>
        <w:t>на</w:t>
      </w:r>
      <w:proofErr w:type="gramEnd"/>
      <w:r w:rsidRPr="0061169F">
        <w:rPr>
          <w:rFonts w:ascii="Arial" w:hAnsi="Arial" w:cs="Arial"/>
          <w:b w:val="0"/>
          <w:sz w:val="24"/>
          <w:szCs w:val="24"/>
        </w:rPr>
        <w:t xml:space="preserve"> от 05.04.2013 №</w:t>
      </w:r>
      <w:r w:rsidR="005330C2" w:rsidRPr="0061169F">
        <w:rPr>
          <w:rFonts w:ascii="Arial" w:hAnsi="Arial" w:cs="Arial"/>
          <w:b w:val="0"/>
          <w:sz w:val="24"/>
          <w:szCs w:val="24"/>
        </w:rPr>
        <w:t> </w:t>
      </w:r>
      <w:r w:rsidRPr="0061169F">
        <w:rPr>
          <w:rFonts w:ascii="Arial" w:hAnsi="Arial" w:cs="Arial"/>
          <w:b w:val="0"/>
          <w:sz w:val="24"/>
          <w:szCs w:val="24"/>
        </w:rPr>
        <w:t xml:space="preserve">44-ФЗ 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</w:t>
      </w:r>
      <w:proofErr w:type="gramStart"/>
      <w:r w:rsidRPr="0061169F">
        <w:rPr>
          <w:rFonts w:ascii="Arial" w:hAnsi="Arial" w:cs="Arial"/>
          <w:b w:val="0"/>
          <w:sz w:val="24"/>
          <w:szCs w:val="24"/>
        </w:rPr>
        <w:t xml:space="preserve">в сфере закупок, содержанию указанных актов и обеспечению их исполнения», </w:t>
      </w:r>
      <w:r w:rsidR="003103B9" w:rsidRPr="0061169F">
        <w:rPr>
          <w:rFonts w:ascii="Arial" w:hAnsi="Arial" w:cs="Arial"/>
          <w:b w:val="0"/>
          <w:sz w:val="24"/>
          <w:szCs w:val="24"/>
        </w:rPr>
        <w:t xml:space="preserve"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61169F">
        <w:rPr>
          <w:rFonts w:ascii="Arial" w:hAnsi="Arial" w:cs="Arial"/>
          <w:b w:val="0"/>
          <w:sz w:val="24"/>
          <w:szCs w:val="24"/>
        </w:rPr>
        <w:t xml:space="preserve">Уставом муниципального образования </w:t>
      </w:r>
      <w:r w:rsidR="00264484" w:rsidRPr="0061169F">
        <w:rPr>
          <w:rFonts w:ascii="Arial" w:hAnsi="Arial" w:cs="Arial"/>
          <w:b w:val="0"/>
          <w:sz w:val="24"/>
          <w:szCs w:val="24"/>
        </w:rPr>
        <w:t>городской округ Люберцы</w:t>
      </w:r>
      <w:r w:rsidRPr="0061169F">
        <w:rPr>
          <w:rFonts w:ascii="Arial" w:hAnsi="Arial" w:cs="Arial"/>
          <w:b w:val="0"/>
          <w:sz w:val="24"/>
          <w:szCs w:val="24"/>
        </w:rPr>
        <w:t xml:space="preserve"> Московской области,</w:t>
      </w:r>
      <w:r w:rsidR="0042068F" w:rsidRPr="0061169F">
        <w:rPr>
          <w:rFonts w:ascii="Arial" w:hAnsi="Arial" w:cs="Arial"/>
          <w:b w:val="0"/>
          <w:sz w:val="24"/>
          <w:szCs w:val="24"/>
        </w:rPr>
        <w:t xml:space="preserve"> Постановлением администрации городско</w:t>
      </w:r>
      <w:r w:rsidR="00F63570" w:rsidRPr="0061169F">
        <w:rPr>
          <w:rFonts w:ascii="Arial" w:hAnsi="Arial" w:cs="Arial"/>
          <w:b w:val="0"/>
          <w:sz w:val="24"/>
          <w:szCs w:val="24"/>
        </w:rPr>
        <w:t>го</w:t>
      </w:r>
      <w:r w:rsidR="0042068F" w:rsidRPr="0061169F">
        <w:rPr>
          <w:rFonts w:ascii="Arial" w:hAnsi="Arial" w:cs="Arial"/>
          <w:b w:val="0"/>
          <w:sz w:val="24"/>
          <w:szCs w:val="24"/>
        </w:rPr>
        <w:t xml:space="preserve"> округ</w:t>
      </w:r>
      <w:r w:rsidR="00F63570" w:rsidRPr="0061169F">
        <w:rPr>
          <w:rFonts w:ascii="Arial" w:hAnsi="Arial" w:cs="Arial"/>
          <w:b w:val="0"/>
          <w:sz w:val="24"/>
          <w:szCs w:val="24"/>
        </w:rPr>
        <w:t>а</w:t>
      </w:r>
      <w:r w:rsidR="0042068F" w:rsidRPr="0061169F">
        <w:rPr>
          <w:rFonts w:ascii="Arial" w:hAnsi="Arial" w:cs="Arial"/>
          <w:b w:val="0"/>
          <w:sz w:val="24"/>
          <w:szCs w:val="24"/>
        </w:rPr>
        <w:t xml:space="preserve"> Люберцы </w:t>
      </w:r>
      <w:r w:rsidR="00E343FE" w:rsidRPr="0061169F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42068F" w:rsidRPr="0061169F">
        <w:rPr>
          <w:rFonts w:ascii="Arial" w:hAnsi="Arial" w:cs="Arial"/>
          <w:b w:val="0"/>
          <w:sz w:val="24"/>
          <w:szCs w:val="24"/>
        </w:rPr>
        <w:t xml:space="preserve">от </w:t>
      </w:r>
      <w:r w:rsidR="007C77C1" w:rsidRPr="0061169F">
        <w:rPr>
          <w:rFonts w:ascii="Arial" w:hAnsi="Arial" w:cs="Arial"/>
          <w:b w:val="0"/>
          <w:sz w:val="24"/>
          <w:szCs w:val="24"/>
        </w:rPr>
        <w:t>15</w:t>
      </w:r>
      <w:r w:rsidR="0042068F" w:rsidRPr="0061169F">
        <w:rPr>
          <w:rFonts w:ascii="Arial" w:hAnsi="Arial" w:cs="Arial"/>
          <w:b w:val="0"/>
          <w:sz w:val="24"/>
          <w:szCs w:val="24"/>
        </w:rPr>
        <w:t>.</w:t>
      </w:r>
      <w:r w:rsidR="007C77C1" w:rsidRPr="0061169F">
        <w:rPr>
          <w:rFonts w:ascii="Arial" w:hAnsi="Arial" w:cs="Arial"/>
          <w:b w:val="0"/>
          <w:sz w:val="24"/>
          <w:szCs w:val="24"/>
        </w:rPr>
        <w:t>11</w:t>
      </w:r>
      <w:r w:rsidR="0042068F" w:rsidRPr="0061169F">
        <w:rPr>
          <w:rFonts w:ascii="Arial" w:hAnsi="Arial" w:cs="Arial"/>
          <w:b w:val="0"/>
          <w:sz w:val="24"/>
          <w:szCs w:val="24"/>
        </w:rPr>
        <w:t>.20</w:t>
      </w:r>
      <w:r w:rsidR="007C77C1" w:rsidRPr="0061169F">
        <w:rPr>
          <w:rFonts w:ascii="Arial" w:hAnsi="Arial" w:cs="Arial"/>
          <w:b w:val="0"/>
          <w:sz w:val="24"/>
          <w:szCs w:val="24"/>
        </w:rPr>
        <w:t>22</w:t>
      </w:r>
      <w:r w:rsidR="0042068F" w:rsidRPr="0061169F">
        <w:rPr>
          <w:rFonts w:ascii="Arial" w:hAnsi="Arial" w:cs="Arial"/>
          <w:b w:val="0"/>
          <w:sz w:val="24"/>
          <w:szCs w:val="24"/>
        </w:rPr>
        <w:t xml:space="preserve"> № </w:t>
      </w:r>
      <w:r w:rsidR="007C77C1" w:rsidRPr="0061169F">
        <w:rPr>
          <w:rFonts w:ascii="Arial" w:hAnsi="Arial" w:cs="Arial"/>
          <w:b w:val="0"/>
          <w:sz w:val="24"/>
          <w:szCs w:val="24"/>
        </w:rPr>
        <w:t>4617</w:t>
      </w:r>
      <w:r w:rsidR="0042068F" w:rsidRPr="0061169F">
        <w:rPr>
          <w:rFonts w:ascii="Arial" w:hAnsi="Arial" w:cs="Arial"/>
          <w:b w:val="0"/>
          <w:sz w:val="24"/>
          <w:szCs w:val="24"/>
        </w:rPr>
        <w:t>-ПА</w:t>
      </w:r>
      <w:r w:rsidR="005674D4" w:rsidRPr="0061169F">
        <w:rPr>
          <w:rFonts w:ascii="Arial" w:hAnsi="Arial" w:cs="Arial"/>
          <w:b w:val="0"/>
          <w:sz w:val="24"/>
          <w:szCs w:val="24"/>
        </w:rPr>
        <w:t xml:space="preserve"> </w:t>
      </w:r>
      <w:r w:rsidR="005330C2" w:rsidRPr="0061169F">
        <w:rPr>
          <w:rFonts w:ascii="Arial" w:hAnsi="Arial" w:cs="Arial"/>
          <w:b w:val="0"/>
          <w:sz w:val="24"/>
          <w:szCs w:val="24"/>
        </w:rPr>
        <w:t>«Об утверждении требований</w:t>
      </w:r>
      <w:proofErr w:type="gramEnd"/>
      <w:r w:rsidR="005330C2" w:rsidRPr="0061169F">
        <w:rPr>
          <w:rFonts w:ascii="Arial" w:hAnsi="Arial" w:cs="Arial"/>
          <w:b w:val="0"/>
          <w:sz w:val="24"/>
          <w:szCs w:val="24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Pr="0061169F">
        <w:rPr>
          <w:rFonts w:ascii="Arial" w:hAnsi="Arial" w:cs="Arial"/>
          <w:b w:val="0"/>
          <w:sz w:val="24"/>
          <w:szCs w:val="24"/>
        </w:rPr>
        <w:t>постановляю:</w:t>
      </w:r>
    </w:p>
    <w:p w:rsidR="00E07E97" w:rsidRPr="0061169F" w:rsidRDefault="00E07E97" w:rsidP="00C50BAB">
      <w:pPr>
        <w:pStyle w:val="ConsPlusTitle"/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1" w:name="P19"/>
      <w:bookmarkEnd w:id="1"/>
      <w:r w:rsidRPr="0061169F">
        <w:rPr>
          <w:rFonts w:ascii="Arial" w:hAnsi="Arial" w:cs="Arial"/>
          <w:b w:val="0"/>
          <w:sz w:val="24"/>
          <w:szCs w:val="24"/>
        </w:rPr>
        <w:t xml:space="preserve">Внести следующие изменения в </w:t>
      </w:r>
      <w:hyperlink w:anchor="P35" w:history="1">
        <w:r w:rsidRPr="0061169F">
          <w:rPr>
            <w:rFonts w:ascii="Arial" w:hAnsi="Arial" w:cs="Arial"/>
            <w:b w:val="0"/>
            <w:sz w:val="24"/>
            <w:szCs w:val="24"/>
          </w:rPr>
          <w:t>Правила</w:t>
        </w:r>
      </w:hyperlink>
      <w:r w:rsidRPr="0061169F">
        <w:rPr>
          <w:rFonts w:ascii="Arial" w:hAnsi="Arial" w:cs="Arial"/>
          <w:b w:val="0"/>
          <w:sz w:val="24"/>
          <w:szCs w:val="24"/>
        </w:rPr>
        <w:t xml:space="preserve">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городского округа Люберцы от 06.12.2022 № 4995-ПА «Об определении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услуг)»</w:t>
      </w:r>
      <w:r w:rsidR="0092687F" w:rsidRPr="0061169F">
        <w:rPr>
          <w:rFonts w:ascii="Arial" w:hAnsi="Arial" w:cs="Arial"/>
          <w:b w:val="0"/>
          <w:sz w:val="24"/>
          <w:szCs w:val="24"/>
        </w:rPr>
        <w:t xml:space="preserve"> (далее – Правила)</w:t>
      </w:r>
      <w:r w:rsidRPr="0061169F">
        <w:rPr>
          <w:rFonts w:ascii="Arial" w:hAnsi="Arial" w:cs="Arial"/>
          <w:b w:val="0"/>
          <w:sz w:val="24"/>
          <w:szCs w:val="24"/>
        </w:rPr>
        <w:t>:</w:t>
      </w:r>
    </w:p>
    <w:p w:rsidR="00E07E97" w:rsidRPr="0061169F" w:rsidRDefault="00E07E97" w:rsidP="00C50BAB">
      <w:pPr>
        <w:pStyle w:val="ConsPlusTitle"/>
        <w:numPr>
          <w:ilvl w:val="1"/>
          <w:numId w:val="4"/>
        </w:numPr>
        <w:tabs>
          <w:tab w:val="left" w:pos="709"/>
          <w:tab w:val="left" w:pos="1276"/>
        </w:tabs>
        <w:spacing w:after="120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61169F">
        <w:rPr>
          <w:rFonts w:ascii="Arial" w:hAnsi="Arial" w:cs="Arial"/>
          <w:b w:val="0"/>
          <w:sz w:val="24"/>
          <w:szCs w:val="24"/>
        </w:rPr>
        <w:t xml:space="preserve">Изложить приложение № 1 к Правилам в новой редакции </w:t>
      </w:r>
      <w:r w:rsidR="0092687F" w:rsidRPr="0061169F">
        <w:rPr>
          <w:rFonts w:ascii="Arial" w:hAnsi="Arial" w:cs="Arial"/>
          <w:b w:val="0"/>
          <w:sz w:val="24"/>
          <w:szCs w:val="24"/>
        </w:rPr>
        <w:t>согласно приложению</w:t>
      </w:r>
      <w:r w:rsidRPr="0061169F">
        <w:rPr>
          <w:rFonts w:ascii="Arial" w:hAnsi="Arial" w:cs="Arial"/>
          <w:b w:val="0"/>
          <w:sz w:val="24"/>
          <w:szCs w:val="24"/>
        </w:rPr>
        <w:t xml:space="preserve"> № 1 к настоящему Постановлению</w:t>
      </w:r>
      <w:r w:rsidR="0092687F" w:rsidRPr="0061169F">
        <w:rPr>
          <w:rFonts w:ascii="Arial" w:hAnsi="Arial" w:cs="Arial"/>
          <w:b w:val="0"/>
          <w:sz w:val="24"/>
          <w:szCs w:val="24"/>
        </w:rPr>
        <w:t>.</w:t>
      </w:r>
    </w:p>
    <w:p w:rsidR="0092687F" w:rsidRPr="0061169F" w:rsidRDefault="0092687F" w:rsidP="00C50BAB">
      <w:pPr>
        <w:pStyle w:val="ConsPlusTitle"/>
        <w:numPr>
          <w:ilvl w:val="1"/>
          <w:numId w:val="4"/>
        </w:numPr>
        <w:tabs>
          <w:tab w:val="left" w:pos="709"/>
          <w:tab w:val="left" w:pos="1276"/>
        </w:tabs>
        <w:spacing w:after="120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61169F">
        <w:rPr>
          <w:rFonts w:ascii="Arial" w:hAnsi="Arial" w:cs="Arial"/>
          <w:b w:val="0"/>
          <w:sz w:val="24"/>
          <w:szCs w:val="24"/>
        </w:rPr>
        <w:t>Изложить приложение № 2 к Правилам в новой редакции согласно приложению № 2 к настоящему Постановлению</w:t>
      </w:r>
      <w:r w:rsidR="00C50BAB" w:rsidRPr="0061169F">
        <w:rPr>
          <w:rFonts w:ascii="Arial" w:hAnsi="Arial" w:cs="Arial"/>
          <w:b w:val="0"/>
          <w:sz w:val="24"/>
          <w:szCs w:val="24"/>
        </w:rPr>
        <w:t>.</w:t>
      </w:r>
    </w:p>
    <w:p w:rsidR="00C50BAB" w:rsidRPr="0061169F" w:rsidRDefault="00C50BAB" w:rsidP="00C50BAB">
      <w:pPr>
        <w:pStyle w:val="ConsPlusTitle"/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169F">
        <w:rPr>
          <w:rFonts w:ascii="Arial" w:hAnsi="Arial" w:cs="Arial"/>
          <w:b w:val="0"/>
          <w:sz w:val="24"/>
          <w:szCs w:val="24"/>
        </w:rPr>
        <w:t>2.</w:t>
      </w:r>
      <w:r w:rsidRPr="0061169F">
        <w:rPr>
          <w:rFonts w:ascii="Arial" w:hAnsi="Arial" w:cs="Arial"/>
          <w:b w:val="0"/>
          <w:sz w:val="24"/>
          <w:szCs w:val="24"/>
        </w:rPr>
        <w:tab/>
        <w:t xml:space="preserve">Настоящее Постановление вступает в силу с момента </w:t>
      </w:r>
      <w:r w:rsidR="00B33290" w:rsidRPr="0061169F">
        <w:rPr>
          <w:rFonts w:ascii="Arial" w:hAnsi="Arial" w:cs="Arial"/>
          <w:b w:val="0"/>
          <w:sz w:val="24"/>
          <w:szCs w:val="24"/>
        </w:rPr>
        <w:t>принятия</w:t>
      </w:r>
      <w:r w:rsidRPr="0061169F">
        <w:rPr>
          <w:rFonts w:ascii="Arial" w:hAnsi="Arial" w:cs="Arial"/>
          <w:b w:val="0"/>
          <w:sz w:val="24"/>
          <w:szCs w:val="24"/>
        </w:rPr>
        <w:t xml:space="preserve"> и </w:t>
      </w:r>
      <w:r w:rsidRPr="0061169F">
        <w:rPr>
          <w:rFonts w:ascii="Arial" w:hAnsi="Arial" w:cs="Arial"/>
          <w:b w:val="0"/>
          <w:sz w:val="24"/>
          <w:szCs w:val="24"/>
        </w:rPr>
        <w:lastRenderedPageBreak/>
        <w:t>распространяется на правоотношения, возникшие с 06.12.2022.</w:t>
      </w:r>
    </w:p>
    <w:p w:rsidR="009B5AC6" w:rsidRPr="0061169F" w:rsidRDefault="00C50BAB" w:rsidP="00C50BAB">
      <w:pPr>
        <w:pStyle w:val="ConsPlusNormal"/>
        <w:widowControl/>
        <w:tabs>
          <w:tab w:val="left" w:pos="993"/>
          <w:tab w:val="left" w:pos="1276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3</w:t>
      </w:r>
      <w:r w:rsidR="009B5AC6" w:rsidRPr="0061169F">
        <w:rPr>
          <w:rFonts w:ascii="Arial" w:hAnsi="Arial" w:cs="Arial"/>
          <w:sz w:val="24"/>
          <w:szCs w:val="24"/>
        </w:rPr>
        <w:t>.</w:t>
      </w:r>
      <w:r w:rsidR="009B5AC6" w:rsidRPr="0061169F">
        <w:rPr>
          <w:rFonts w:ascii="Arial" w:hAnsi="Arial" w:cs="Arial"/>
          <w:sz w:val="24"/>
          <w:szCs w:val="24"/>
        </w:rPr>
        <w:tab/>
      </w:r>
      <w:bookmarkStart w:id="2" w:name="_Hlk119060219"/>
      <w:r w:rsidR="005330C2" w:rsidRPr="0061169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информации, разместить в единой системе в сфере закупок и на официальном сайте администрации в сети «Интернет»</w:t>
      </w:r>
      <w:r w:rsidR="009B5AC6" w:rsidRPr="0061169F">
        <w:rPr>
          <w:rFonts w:ascii="Arial" w:hAnsi="Arial" w:cs="Arial"/>
          <w:sz w:val="24"/>
          <w:szCs w:val="24"/>
        </w:rPr>
        <w:t>.</w:t>
      </w:r>
    </w:p>
    <w:p w:rsidR="009B5AC6" w:rsidRPr="0061169F" w:rsidRDefault="00C50BAB" w:rsidP="00C50BAB">
      <w:pPr>
        <w:pStyle w:val="ConsPlusNormal"/>
        <w:widowControl/>
        <w:tabs>
          <w:tab w:val="left" w:pos="993"/>
          <w:tab w:val="left" w:pos="1276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4</w:t>
      </w:r>
      <w:r w:rsidR="009B5AC6" w:rsidRPr="0061169F">
        <w:rPr>
          <w:rFonts w:ascii="Arial" w:hAnsi="Arial" w:cs="Arial"/>
          <w:sz w:val="24"/>
          <w:szCs w:val="24"/>
        </w:rPr>
        <w:t>.</w:t>
      </w:r>
      <w:r w:rsidR="009B5AC6" w:rsidRPr="0061169F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</w:t>
      </w:r>
      <w:r w:rsidR="005330C2" w:rsidRPr="0061169F">
        <w:rPr>
          <w:rFonts w:ascii="Arial" w:hAnsi="Arial" w:cs="Arial"/>
          <w:sz w:val="24"/>
          <w:szCs w:val="24"/>
        </w:rPr>
        <w:t xml:space="preserve">Первого </w:t>
      </w:r>
      <w:r w:rsidR="009B5AC6" w:rsidRPr="0061169F">
        <w:rPr>
          <w:rFonts w:ascii="Arial" w:hAnsi="Arial" w:cs="Arial"/>
          <w:sz w:val="24"/>
          <w:szCs w:val="24"/>
        </w:rPr>
        <w:t xml:space="preserve">заместителя </w:t>
      </w:r>
      <w:r w:rsidR="00264484" w:rsidRPr="0061169F">
        <w:rPr>
          <w:rFonts w:ascii="Arial" w:hAnsi="Arial" w:cs="Arial"/>
          <w:sz w:val="24"/>
          <w:szCs w:val="24"/>
        </w:rPr>
        <w:t>Главы</w:t>
      </w:r>
      <w:r w:rsidR="009B5AC6" w:rsidRPr="0061169F">
        <w:rPr>
          <w:rFonts w:ascii="Arial" w:hAnsi="Arial" w:cs="Arial"/>
          <w:sz w:val="24"/>
          <w:szCs w:val="24"/>
        </w:rPr>
        <w:t xml:space="preserve"> администрации </w:t>
      </w:r>
      <w:r w:rsidR="00F51AA1" w:rsidRPr="0061169F">
        <w:rPr>
          <w:rFonts w:ascii="Arial" w:hAnsi="Arial" w:cs="Arial"/>
          <w:sz w:val="24"/>
          <w:szCs w:val="24"/>
        </w:rPr>
        <w:t>Мотовилова И.В</w:t>
      </w:r>
      <w:r w:rsidR="001912E1" w:rsidRPr="0061169F">
        <w:rPr>
          <w:rFonts w:ascii="Arial" w:hAnsi="Arial" w:cs="Arial"/>
          <w:sz w:val="24"/>
          <w:szCs w:val="24"/>
        </w:rPr>
        <w:t>.</w:t>
      </w:r>
    </w:p>
    <w:p w:rsidR="009B5AC6" w:rsidRPr="0061169F" w:rsidRDefault="009B5AC6" w:rsidP="009B5AC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3A3281" w:rsidRPr="0061169F" w:rsidRDefault="003A3281" w:rsidP="009B5AC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9B5AC6" w:rsidRPr="0061169F" w:rsidRDefault="009B5AC6" w:rsidP="009B5A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5AC6" w:rsidRPr="0061169F" w:rsidRDefault="003860C5" w:rsidP="009B5AC6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Глава</w:t>
      </w:r>
      <w:r w:rsidR="005330C2" w:rsidRPr="0061169F">
        <w:rPr>
          <w:rFonts w:ascii="Arial" w:hAnsi="Arial" w:cs="Arial"/>
          <w:sz w:val="24"/>
          <w:szCs w:val="24"/>
        </w:rPr>
        <w:t xml:space="preserve"> городского округа</w:t>
      </w:r>
      <w:r w:rsidRPr="0061169F">
        <w:rPr>
          <w:rFonts w:ascii="Arial" w:hAnsi="Arial" w:cs="Arial"/>
          <w:sz w:val="24"/>
          <w:szCs w:val="24"/>
        </w:rPr>
        <w:t xml:space="preserve">                                                                   В</w:t>
      </w:r>
      <w:r w:rsidR="009B5AC6" w:rsidRPr="0061169F">
        <w:rPr>
          <w:rFonts w:ascii="Arial" w:hAnsi="Arial" w:cs="Arial"/>
          <w:sz w:val="24"/>
          <w:szCs w:val="24"/>
        </w:rPr>
        <w:t>.</w:t>
      </w:r>
      <w:r w:rsidR="00B33290" w:rsidRPr="0061169F">
        <w:rPr>
          <w:rFonts w:ascii="Arial" w:hAnsi="Arial" w:cs="Arial"/>
          <w:sz w:val="24"/>
          <w:szCs w:val="24"/>
        </w:rPr>
        <w:t xml:space="preserve"> </w:t>
      </w:r>
      <w:r w:rsidRPr="0061169F">
        <w:rPr>
          <w:rFonts w:ascii="Arial" w:hAnsi="Arial" w:cs="Arial"/>
          <w:sz w:val="24"/>
          <w:szCs w:val="24"/>
        </w:rPr>
        <w:t>М</w:t>
      </w:r>
      <w:r w:rsidR="009B5AC6" w:rsidRPr="0061169F">
        <w:rPr>
          <w:rFonts w:ascii="Arial" w:hAnsi="Arial" w:cs="Arial"/>
          <w:sz w:val="24"/>
          <w:szCs w:val="24"/>
        </w:rPr>
        <w:t xml:space="preserve">. </w:t>
      </w:r>
      <w:r w:rsidRPr="0061169F">
        <w:rPr>
          <w:rFonts w:ascii="Arial" w:hAnsi="Arial" w:cs="Arial"/>
          <w:sz w:val="24"/>
          <w:szCs w:val="24"/>
        </w:rPr>
        <w:t>Волков</w:t>
      </w:r>
    </w:p>
    <w:bookmarkEnd w:id="2"/>
    <w:p w:rsidR="005330C2" w:rsidRPr="0061169F" w:rsidRDefault="005330C2" w:rsidP="009B5AC6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5330C2" w:rsidRPr="0061169F" w:rsidRDefault="005330C2" w:rsidP="009B5AC6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F944C9" w:rsidRPr="0061169F" w:rsidRDefault="00F944C9">
      <w:pPr>
        <w:rPr>
          <w:rFonts w:ascii="Arial" w:hAnsi="Arial" w:cs="Arial"/>
          <w:sz w:val="24"/>
          <w:szCs w:val="24"/>
        </w:rPr>
        <w:sectPr w:rsidR="00F944C9" w:rsidRPr="0061169F" w:rsidSect="002659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P35"/>
      <w:bookmarkEnd w:id="3"/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 округа Люберцы Московской области </w:t>
      </w: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от </w:t>
      </w:r>
      <w:r w:rsidR="000E46EA">
        <w:rPr>
          <w:rFonts w:ascii="Arial" w:hAnsi="Arial" w:cs="Arial"/>
          <w:sz w:val="24"/>
          <w:szCs w:val="24"/>
        </w:rPr>
        <w:t>18.01.2023 № 18-ПА</w:t>
      </w:r>
    </w:p>
    <w:p w:rsidR="0092687F" w:rsidRPr="0061169F" w:rsidRDefault="0092687F" w:rsidP="007D27FB">
      <w:pPr>
        <w:pStyle w:val="ConsPlusNormal"/>
        <w:ind w:left="9072"/>
        <w:rPr>
          <w:rFonts w:ascii="Arial" w:hAnsi="Arial" w:cs="Arial"/>
          <w:sz w:val="24"/>
          <w:szCs w:val="24"/>
        </w:rPr>
      </w:pPr>
    </w:p>
    <w:p w:rsidR="0092687F" w:rsidRPr="0061169F" w:rsidRDefault="0092687F" w:rsidP="007D27FB">
      <w:pPr>
        <w:pStyle w:val="ConsPlusNormal"/>
        <w:ind w:left="9072"/>
        <w:rPr>
          <w:rFonts w:ascii="Arial" w:hAnsi="Arial" w:cs="Arial"/>
          <w:sz w:val="24"/>
          <w:szCs w:val="24"/>
        </w:rPr>
      </w:pPr>
    </w:p>
    <w:p w:rsidR="00F944C9" w:rsidRPr="0061169F" w:rsidRDefault="00FA7696" w:rsidP="007D27FB">
      <w:pPr>
        <w:pStyle w:val="ConsPlusNormal"/>
        <w:ind w:left="9072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Приложение №</w:t>
      </w:r>
      <w:r w:rsidR="00F944C9" w:rsidRPr="0061169F">
        <w:rPr>
          <w:rFonts w:ascii="Arial" w:hAnsi="Arial" w:cs="Arial"/>
          <w:sz w:val="24"/>
          <w:szCs w:val="24"/>
        </w:rPr>
        <w:t xml:space="preserve"> 1</w:t>
      </w:r>
    </w:p>
    <w:p w:rsidR="00BF21D8" w:rsidRPr="0061169F" w:rsidRDefault="00F944C9" w:rsidP="007D27FB">
      <w:pPr>
        <w:pStyle w:val="ConsPlusNormal"/>
        <w:ind w:left="9072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к </w:t>
      </w:r>
      <w:hyperlink w:anchor="P35" w:history="1">
        <w:r w:rsidR="00BF21D8" w:rsidRPr="0061169F">
          <w:rPr>
            <w:rFonts w:ascii="Arial" w:hAnsi="Arial" w:cs="Arial"/>
            <w:sz w:val="24"/>
            <w:szCs w:val="24"/>
          </w:rPr>
          <w:t>Правила</w:t>
        </w:r>
      </w:hyperlink>
      <w:r w:rsidR="00BF21D8" w:rsidRPr="0061169F">
        <w:rPr>
          <w:rFonts w:ascii="Arial" w:hAnsi="Arial" w:cs="Arial"/>
          <w:sz w:val="24"/>
          <w:szCs w:val="24"/>
        </w:rPr>
        <w:t>м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</w:p>
    <w:p w:rsidR="00F944C9" w:rsidRPr="0061169F" w:rsidRDefault="00F944C9" w:rsidP="007D27FB">
      <w:pPr>
        <w:pStyle w:val="ConsPlusNormal"/>
        <w:ind w:left="9072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(форма)</w:t>
      </w:r>
    </w:p>
    <w:p w:rsidR="00F944C9" w:rsidRPr="0061169F" w:rsidRDefault="00F944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27FB" w:rsidRPr="0061169F" w:rsidRDefault="007D27F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CBB" w:rsidRPr="0061169F" w:rsidRDefault="008E1C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A04B3" w:rsidRPr="0061169F" w:rsidRDefault="0007073A" w:rsidP="00FA13B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4" w:name="P87"/>
      <w:bookmarkStart w:id="5" w:name="P111"/>
      <w:bookmarkStart w:id="6" w:name="_Hlk118722364"/>
      <w:bookmarkEnd w:id="4"/>
      <w:bookmarkEnd w:id="5"/>
      <w:r w:rsidRPr="0061169F">
        <w:rPr>
          <w:rFonts w:ascii="Arial" w:hAnsi="Arial" w:cs="Arial"/>
          <w:b/>
          <w:sz w:val="24"/>
          <w:szCs w:val="24"/>
        </w:rPr>
        <w:t xml:space="preserve">Требования </w:t>
      </w:r>
    </w:p>
    <w:p w:rsidR="002A04B3" w:rsidRPr="0061169F" w:rsidRDefault="0007073A" w:rsidP="00FA13B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1169F">
        <w:rPr>
          <w:rFonts w:ascii="Arial" w:hAnsi="Arial" w:cs="Arial"/>
          <w:b/>
          <w:sz w:val="24"/>
          <w:szCs w:val="24"/>
        </w:rPr>
        <w:t xml:space="preserve">к закупаемым </w:t>
      </w:r>
      <w:r w:rsidR="002A04B3" w:rsidRPr="0061169F">
        <w:rPr>
          <w:rFonts w:ascii="Arial" w:hAnsi="Arial" w:cs="Arial"/>
          <w:b/>
          <w:sz w:val="24"/>
          <w:szCs w:val="24"/>
        </w:rPr>
        <w:t>муниципальным органом</w:t>
      </w:r>
      <w:r w:rsidRPr="0061169F">
        <w:rPr>
          <w:rFonts w:ascii="Arial" w:hAnsi="Arial" w:cs="Arial"/>
          <w:b/>
          <w:sz w:val="24"/>
          <w:szCs w:val="24"/>
        </w:rPr>
        <w:t xml:space="preserve"> и подведомственными </w:t>
      </w:r>
      <w:r w:rsidR="002A04B3" w:rsidRPr="0061169F">
        <w:rPr>
          <w:rFonts w:ascii="Arial" w:hAnsi="Arial" w:cs="Arial"/>
          <w:b/>
          <w:sz w:val="24"/>
          <w:szCs w:val="24"/>
        </w:rPr>
        <w:t>е</w:t>
      </w:r>
      <w:r w:rsidRPr="0061169F">
        <w:rPr>
          <w:rFonts w:ascii="Arial" w:hAnsi="Arial" w:cs="Arial"/>
          <w:b/>
          <w:sz w:val="24"/>
          <w:szCs w:val="24"/>
        </w:rPr>
        <w:t>м</w:t>
      </w:r>
      <w:r w:rsidR="002A04B3" w:rsidRPr="0061169F">
        <w:rPr>
          <w:rFonts w:ascii="Arial" w:hAnsi="Arial" w:cs="Arial"/>
          <w:b/>
          <w:sz w:val="24"/>
          <w:szCs w:val="24"/>
        </w:rPr>
        <w:t>у</w:t>
      </w:r>
      <w:r w:rsidRPr="0061169F">
        <w:rPr>
          <w:rFonts w:ascii="Arial" w:hAnsi="Arial" w:cs="Arial"/>
          <w:b/>
          <w:sz w:val="24"/>
          <w:szCs w:val="24"/>
        </w:rPr>
        <w:t xml:space="preserve"> организациями отдельным видам товаров, работ, услуг, включающие перечень отдельных видов товаров, работ, услуг, их потребительские свойства</w:t>
      </w:r>
    </w:p>
    <w:p w:rsidR="002A04B3" w:rsidRPr="0061169F" w:rsidRDefault="0007073A" w:rsidP="00FA13B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1169F">
        <w:rPr>
          <w:rFonts w:ascii="Arial" w:hAnsi="Arial" w:cs="Arial"/>
          <w:b/>
          <w:sz w:val="24"/>
          <w:szCs w:val="24"/>
        </w:rPr>
        <w:t xml:space="preserve">(в том числе качество) и иные характеристики (в том числе предельные цены товаров, работ, услуг) </w:t>
      </w:r>
    </w:p>
    <w:p w:rsidR="007D27FB" w:rsidRPr="0061169F" w:rsidRDefault="0007073A" w:rsidP="00FA13B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1169F">
        <w:rPr>
          <w:rFonts w:ascii="Arial" w:hAnsi="Arial" w:cs="Arial"/>
          <w:b/>
          <w:sz w:val="24"/>
          <w:szCs w:val="24"/>
        </w:rPr>
        <w:t>(</w:t>
      </w:r>
      <w:r w:rsidR="002A04B3" w:rsidRPr="0061169F">
        <w:rPr>
          <w:rFonts w:ascii="Arial" w:hAnsi="Arial" w:cs="Arial"/>
          <w:b/>
          <w:sz w:val="24"/>
          <w:szCs w:val="24"/>
        </w:rPr>
        <w:t>ВЕДОМСТВЕННЫЙ ПЕРЕЧЕНЬ</w:t>
      </w:r>
      <w:r w:rsidRPr="0061169F">
        <w:rPr>
          <w:rFonts w:ascii="Arial" w:hAnsi="Arial" w:cs="Arial"/>
          <w:b/>
          <w:sz w:val="24"/>
          <w:szCs w:val="24"/>
        </w:rPr>
        <w:t>)</w:t>
      </w:r>
    </w:p>
    <w:p w:rsidR="00857F0A" w:rsidRPr="0061169F" w:rsidRDefault="00857F0A" w:rsidP="00FA76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54"/>
      <w:bookmarkEnd w:id="6"/>
      <w:bookmarkEnd w:id="7"/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1180"/>
        <w:gridCol w:w="1560"/>
        <w:gridCol w:w="1276"/>
        <w:gridCol w:w="1070"/>
        <w:gridCol w:w="1152"/>
        <w:gridCol w:w="6"/>
        <w:gridCol w:w="2221"/>
        <w:gridCol w:w="1552"/>
        <w:gridCol w:w="1368"/>
        <w:gridCol w:w="1276"/>
        <w:gridCol w:w="1134"/>
        <w:gridCol w:w="1134"/>
      </w:tblGrid>
      <w:tr w:rsidR="009B4C07" w:rsidRPr="0061169F" w:rsidTr="000E46EA">
        <w:trPr>
          <w:trHeight w:val="20"/>
        </w:trPr>
        <w:tc>
          <w:tcPr>
            <w:tcW w:w="659" w:type="dxa"/>
            <w:vMerge w:val="restart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180" w:type="dxa"/>
            <w:vMerge w:val="restart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8">
              <w:r w:rsidRPr="0061169F">
                <w:rPr>
                  <w:rFonts w:ascii="Arial" w:hAnsi="Arial" w:cs="Arial"/>
                  <w:sz w:val="24"/>
                  <w:szCs w:val="24"/>
                </w:rPr>
                <w:t>ОКПД2</w:t>
              </w:r>
            </w:hyperlink>
          </w:p>
        </w:tc>
        <w:tc>
          <w:tcPr>
            <w:tcW w:w="1560" w:type="dxa"/>
            <w:vMerge w:val="restart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2189" w:type="dxa"/>
            <w:gridSpan w:val="10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7D27FB" w:rsidRPr="0061169F" w:rsidTr="000E46EA">
        <w:trPr>
          <w:trHeight w:val="20"/>
        </w:trPr>
        <w:tc>
          <w:tcPr>
            <w:tcW w:w="659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228" w:type="dxa"/>
            <w:gridSpan w:val="3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685" w:type="dxa"/>
            <w:gridSpan w:val="6"/>
          </w:tcPr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7D27FB" w:rsidRPr="0061169F" w:rsidTr="000E46EA">
        <w:trPr>
          <w:trHeight w:val="20"/>
        </w:trPr>
        <w:tc>
          <w:tcPr>
            <w:tcW w:w="659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9">
              <w:r w:rsidRPr="0061169F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52" w:type="dxa"/>
            <w:vMerge w:val="restart"/>
          </w:tcPr>
          <w:p w:rsidR="009B4C07" w:rsidRPr="0061169F" w:rsidRDefault="009B4C07" w:rsidP="00E30C7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147" w:type="dxa"/>
            <w:gridSpan w:val="4"/>
          </w:tcPr>
          <w:p w:rsidR="00E57B93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_____________________________________ </w:t>
            </w:r>
            <w:r w:rsidR="00E57B93" w:rsidRPr="0061169F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169F">
              <w:rPr>
                <w:rFonts w:ascii="Arial" w:hAnsi="Arial" w:cs="Arial"/>
                <w:i/>
                <w:sz w:val="24"/>
                <w:szCs w:val="24"/>
              </w:rPr>
              <w:t>(наименование муниципального органа городского округа Люберцы Московской области)</w:t>
            </w:r>
          </w:p>
        </w:tc>
        <w:tc>
          <w:tcPr>
            <w:tcW w:w="3544" w:type="dxa"/>
            <w:gridSpan w:val="3"/>
          </w:tcPr>
          <w:p w:rsidR="00E57B93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</w:t>
            </w:r>
            <w:r w:rsidR="009B4C07" w:rsidRPr="0061169F">
              <w:rPr>
                <w:rFonts w:ascii="Arial" w:hAnsi="Arial" w:cs="Arial"/>
                <w:sz w:val="24"/>
                <w:szCs w:val="24"/>
              </w:rPr>
              <w:t xml:space="preserve">одведомственные </w:t>
            </w:r>
            <w:r w:rsidR="00E57B93" w:rsidRPr="0061169F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 </w:t>
            </w:r>
            <w:r w:rsidR="00E57B93" w:rsidRPr="0061169F">
              <w:rPr>
                <w:rFonts w:ascii="Arial" w:hAnsi="Arial" w:cs="Arial"/>
                <w:i/>
                <w:sz w:val="24"/>
                <w:szCs w:val="24"/>
              </w:rPr>
              <w:t xml:space="preserve">(наименование </w:t>
            </w:r>
            <w:r w:rsidR="009B4C07" w:rsidRPr="0061169F">
              <w:rPr>
                <w:rFonts w:ascii="Arial" w:hAnsi="Arial" w:cs="Arial"/>
                <w:i/>
                <w:sz w:val="24"/>
                <w:szCs w:val="24"/>
              </w:rPr>
              <w:t>муниципально</w:t>
            </w:r>
            <w:r w:rsidR="00E57B93" w:rsidRPr="0061169F">
              <w:rPr>
                <w:rFonts w:ascii="Arial" w:hAnsi="Arial" w:cs="Arial"/>
                <w:i/>
                <w:sz w:val="24"/>
                <w:szCs w:val="24"/>
              </w:rPr>
              <w:t>го</w:t>
            </w:r>
            <w:r w:rsidR="009B4C07" w:rsidRPr="0061169F">
              <w:rPr>
                <w:rFonts w:ascii="Arial" w:hAnsi="Arial" w:cs="Arial"/>
                <w:i/>
                <w:sz w:val="24"/>
                <w:szCs w:val="24"/>
              </w:rPr>
              <w:t xml:space="preserve"> орган</w:t>
            </w:r>
            <w:r w:rsidR="00E57B93" w:rsidRPr="0061169F">
              <w:rPr>
                <w:rFonts w:ascii="Arial" w:hAnsi="Arial" w:cs="Arial"/>
                <w:i/>
                <w:sz w:val="24"/>
                <w:szCs w:val="24"/>
              </w:rPr>
              <w:t>а</w:t>
            </w:r>
            <w:r w:rsidR="009B4C07" w:rsidRPr="0061169F">
              <w:rPr>
                <w:rFonts w:ascii="Arial" w:hAnsi="Arial" w:cs="Arial"/>
                <w:i/>
                <w:sz w:val="24"/>
                <w:szCs w:val="24"/>
              </w:rPr>
              <w:t xml:space="preserve"> городского округа Люберцы</w:t>
            </w:r>
            <w:r w:rsidR="00E57B93" w:rsidRPr="0061169F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:rsidR="009B4C07" w:rsidRPr="0061169F" w:rsidRDefault="009B4C07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 казенные учреждения, бюджетные учреждения и унитарные предприятия</w:t>
            </w:r>
          </w:p>
        </w:tc>
      </w:tr>
      <w:tr w:rsidR="007D27FB" w:rsidRPr="0061169F" w:rsidTr="000E46EA">
        <w:trPr>
          <w:trHeight w:val="20"/>
        </w:trPr>
        <w:tc>
          <w:tcPr>
            <w:tcW w:w="659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7D27FB" w:rsidRPr="0061169F" w:rsidRDefault="007D27FB" w:rsidP="009B4C0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7D27FB" w:rsidRPr="0061169F" w:rsidRDefault="00046FA9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Глава городского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округа, Председатель Совета депутатов, Председатель избирательной комиссии, Председатель Контрольно-счетной палаты </w:t>
            </w:r>
            <w:r w:rsidR="007D27FB" w:rsidRPr="0061169F">
              <w:rPr>
                <w:rFonts w:ascii="Arial" w:hAnsi="Arial" w:cs="Arial"/>
                <w:sz w:val="24"/>
                <w:szCs w:val="24"/>
              </w:rPr>
              <w:t>и должности категории «руководители»</w:t>
            </w:r>
          </w:p>
        </w:tc>
        <w:tc>
          <w:tcPr>
            <w:tcW w:w="1552" w:type="dxa"/>
          </w:tcPr>
          <w:p w:rsidR="007D27FB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должности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категории «помощники (советники)»</w:t>
            </w:r>
            <w:hyperlink w:anchor="P2362"/>
          </w:p>
        </w:tc>
        <w:tc>
          <w:tcPr>
            <w:tcW w:w="1368" w:type="dxa"/>
          </w:tcPr>
          <w:p w:rsidR="007D27FB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должност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 категории «специалисты» и иные категории должностей</w:t>
            </w:r>
          </w:p>
        </w:tc>
        <w:tc>
          <w:tcPr>
            <w:tcW w:w="1276" w:type="dxa"/>
          </w:tcPr>
          <w:p w:rsidR="007D27FB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руководи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1134" w:type="dxa"/>
          </w:tcPr>
          <w:p w:rsidR="007D27FB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замести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тель руководителя</w:t>
            </w:r>
          </w:p>
        </w:tc>
        <w:tc>
          <w:tcPr>
            <w:tcW w:w="1134" w:type="dxa"/>
          </w:tcPr>
          <w:p w:rsidR="007D27FB" w:rsidRPr="0061169F" w:rsidRDefault="007D27FB" w:rsidP="00355D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категории должностей</w:t>
            </w:r>
          </w:p>
        </w:tc>
      </w:tr>
      <w:tr w:rsidR="007D27FB" w:rsidRPr="0061169F" w:rsidTr="000E46EA">
        <w:trPr>
          <w:trHeight w:val="20"/>
        </w:trPr>
        <w:tc>
          <w:tcPr>
            <w:tcW w:w="659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27" w:type="dxa"/>
            <w:gridSpan w:val="2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D27FB" w:rsidRPr="0061169F" w:rsidRDefault="007D27FB" w:rsidP="007D27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857F0A" w:rsidRPr="0061169F" w:rsidRDefault="00857F0A" w:rsidP="007D27F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F944C9" w:rsidRPr="0061169F" w:rsidRDefault="00F944C9" w:rsidP="00FA76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212"/>
      <w:bookmarkEnd w:id="8"/>
    </w:p>
    <w:p w:rsidR="00273DD5" w:rsidRPr="0061169F" w:rsidRDefault="00273DD5">
      <w:pPr>
        <w:pStyle w:val="ConsPlusNormal"/>
        <w:jc w:val="both"/>
        <w:rPr>
          <w:rFonts w:ascii="Arial" w:hAnsi="Arial" w:cs="Arial"/>
          <w:sz w:val="24"/>
          <w:szCs w:val="24"/>
        </w:rPr>
        <w:sectPr w:rsidR="00273DD5" w:rsidRPr="0061169F" w:rsidSect="0061169F">
          <w:pgSz w:w="16838" w:h="11905" w:orient="landscape"/>
          <w:pgMar w:top="567" w:right="567" w:bottom="567" w:left="1134" w:header="0" w:footer="0" w:gutter="0"/>
          <w:cols w:space="720"/>
          <w:docGrid w:linePitch="299"/>
        </w:sectPr>
      </w:pP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4A1361">
        <w:rPr>
          <w:rFonts w:ascii="Arial" w:hAnsi="Arial" w:cs="Arial"/>
          <w:sz w:val="24"/>
          <w:szCs w:val="24"/>
        </w:rPr>
        <w:t>2</w:t>
      </w:r>
      <w:r w:rsidRPr="0061169F">
        <w:rPr>
          <w:rFonts w:ascii="Arial" w:hAnsi="Arial" w:cs="Arial"/>
          <w:sz w:val="24"/>
          <w:szCs w:val="24"/>
        </w:rPr>
        <w:t xml:space="preserve"> </w:t>
      </w: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92687F" w:rsidRPr="0061169F" w:rsidRDefault="0092687F" w:rsidP="0092687F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 округа Люберцы Московской области </w:t>
      </w:r>
    </w:p>
    <w:p w:rsidR="000E46EA" w:rsidRPr="0061169F" w:rsidRDefault="000E46EA" w:rsidP="000E46EA">
      <w:pPr>
        <w:pStyle w:val="ConsPlusNormal"/>
        <w:ind w:left="4678" w:firstLine="4394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18.01.2023 № 18-ПА</w:t>
      </w:r>
    </w:p>
    <w:p w:rsidR="0092687F" w:rsidRPr="0061169F" w:rsidRDefault="0092687F" w:rsidP="00A178B5">
      <w:pPr>
        <w:pStyle w:val="ConsPlusNormal"/>
        <w:ind w:left="8647" w:firstLine="851"/>
        <w:rPr>
          <w:rFonts w:ascii="Arial" w:hAnsi="Arial" w:cs="Arial"/>
          <w:sz w:val="24"/>
          <w:szCs w:val="24"/>
        </w:rPr>
      </w:pPr>
    </w:p>
    <w:p w:rsidR="00F944C9" w:rsidRPr="0061169F" w:rsidRDefault="00FA7696" w:rsidP="0092687F">
      <w:pPr>
        <w:pStyle w:val="ConsPlusNormal"/>
        <w:tabs>
          <w:tab w:val="left" w:pos="9072"/>
        </w:tabs>
        <w:ind w:left="9072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>Приложение №</w:t>
      </w:r>
      <w:r w:rsidR="00F944C9" w:rsidRPr="0061169F">
        <w:rPr>
          <w:rFonts w:ascii="Arial" w:hAnsi="Arial" w:cs="Arial"/>
          <w:sz w:val="24"/>
          <w:szCs w:val="24"/>
        </w:rPr>
        <w:t xml:space="preserve"> 2</w:t>
      </w:r>
    </w:p>
    <w:p w:rsidR="00A74A26" w:rsidRPr="0061169F" w:rsidRDefault="00A178B5" w:rsidP="0092687F">
      <w:pPr>
        <w:pStyle w:val="ConsPlusNormal"/>
        <w:tabs>
          <w:tab w:val="left" w:pos="9072"/>
        </w:tabs>
        <w:ind w:left="9072"/>
        <w:rPr>
          <w:rFonts w:ascii="Arial" w:hAnsi="Arial" w:cs="Arial"/>
          <w:sz w:val="24"/>
          <w:szCs w:val="24"/>
        </w:rPr>
      </w:pPr>
      <w:r w:rsidRPr="0061169F">
        <w:rPr>
          <w:rFonts w:ascii="Arial" w:hAnsi="Arial" w:cs="Arial"/>
          <w:sz w:val="24"/>
          <w:szCs w:val="24"/>
        </w:rPr>
        <w:t xml:space="preserve">к </w:t>
      </w:r>
      <w:hyperlink w:anchor="P35" w:history="1">
        <w:r w:rsidRPr="0061169F">
          <w:rPr>
            <w:rFonts w:ascii="Arial" w:hAnsi="Arial" w:cs="Arial"/>
            <w:sz w:val="24"/>
            <w:szCs w:val="24"/>
          </w:rPr>
          <w:t>Правила</w:t>
        </w:r>
      </w:hyperlink>
      <w:r w:rsidRPr="0061169F">
        <w:rPr>
          <w:rFonts w:ascii="Arial" w:hAnsi="Arial" w:cs="Arial"/>
          <w:sz w:val="24"/>
          <w:szCs w:val="24"/>
        </w:rPr>
        <w:t>м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</w:p>
    <w:p w:rsidR="00F944C9" w:rsidRPr="0061169F" w:rsidRDefault="00F944C9" w:rsidP="0092687F">
      <w:pPr>
        <w:pStyle w:val="ConsPlusNormal"/>
        <w:ind w:left="9072"/>
        <w:jc w:val="both"/>
        <w:rPr>
          <w:rFonts w:ascii="Arial" w:hAnsi="Arial" w:cs="Arial"/>
          <w:sz w:val="24"/>
          <w:szCs w:val="24"/>
        </w:rPr>
      </w:pPr>
    </w:p>
    <w:p w:rsidR="00857F0A" w:rsidRPr="0061169F" w:rsidRDefault="00857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2687F" w:rsidRPr="0061169F" w:rsidRDefault="009268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0BAB" w:rsidRPr="0061169F" w:rsidRDefault="00C50BA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0BAB" w:rsidRPr="0061169F" w:rsidRDefault="00C50BA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0BAB" w:rsidRPr="0061169F" w:rsidRDefault="00C50BA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5308" w:rsidRPr="0061169F" w:rsidRDefault="00A05308" w:rsidP="00A0530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9" w:name="P174"/>
      <w:bookmarkEnd w:id="9"/>
      <w:r w:rsidRPr="0061169F">
        <w:rPr>
          <w:rFonts w:ascii="Arial" w:hAnsi="Arial" w:cs="Arial"/>
          <w:b/>
          <w:sz w:val="24"/>
          <w:szCs w:val="24"/>
        </w:rPr>
        <w:t>ОБЯЗАТЕЛЬНЫЙ ПЕРЕЧЕНЬ</w:t>
      </w:r>
    </w:p>
    <w:p w:rsidR="004A681A" w:rsidRPr="0061169F" w:rsidRDefault="00A05308" w:rsidP="00A0530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1169F">
        <w:rPr>
          <w:rFonts w:ascii="Arial" w:hAnsi="Arial" w:cs="Arial"/>
          <w:b/>
          <w:sz w:val="24"/>
          <w:szCs w:val="24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p w:rsidR="00654B8D" w:rsidRPr="0061169F" w:rsidRDefault="00654B8D" w:rsidP="00A053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065"/>
        <w:gridCol w:w="1985"/>
        <w:gridCol w:w="1695"/>
        <w:gridCol w:w="850"/>
        <w:gridCol w:w="993"/>
        <w:gridCol w:w="1559"/>
        <w:gridCol w:w="1417"/>
        <w:gridCol w:w="1418"/>
        <w:gridCol w:w="1417"/>
        <w:gridCol w:w="1418"/>
        <w:gridCol w:w="1417"/>
      </w:tblGrid>
      <w:tr w:rsidR="00654B8D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0">
              <w:r w:rsidRPr="0061169F">
                <w:rPr>
                  <w:rFonts w:ascii="Arial" w:hAnsi="Arial" w:cs="Arial"/>
                  <w:sz w:val="24"/>
                  <w:szCs w:val="24"/>
                </w:rPr>
                <w:t>ОКПД2</w:t>
              </w:r>
            </w:hyperlink>
          </w:p>
        </w:tc>
        <w:tc>
          <w:tcPr>
            <w:tcW w:w="1985" w:type="dxa"/>
            <w:vMerge w:val="restart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2184" w:type="dxa"/>
            <w:gridSpan w:val="9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Требования </w:t>
            </w:r>
            <w:r w:rsidR="00A05308" w:rsidRPr="0061169F">
              <w:rPr>
                <w:rFonts w:ascii="Arial" w:hAnsi="Arial" w:cs="Arial"/>
                <w:sz w:val="24"/>
                <w:szCs w:val="24"/>
              </w:rPr>
              <w:t xml:space="preserve">качеству, </w:t>
            </w:r>
            <w:r w:rsidRPr="0061169F">
              <w:rPr>
                <w:rFonts w:ascii="Arial" w:hAnsi="Arial" w:cs="Arial"/>
                <w:sz w:val="24"/>
                <w:szCs w:val="24"/>
              </w:rPr>
              <w:t>потребительским свойствам и иным характеристикам (в том числе предельные цены)</w:t>
            </w:r>
          </w:p>
        </w:tc>
      </w:tr>
      <w:tr w:rsidR="00654B8D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646" w:type="dxa"/>
            <w:gridSpan w:val="6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654B8D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1">
              <w:r w:rsidRPr="0061169F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3" w:type="dxa"/>
            <w:vMerge w:val="restart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подведомственные муниципальным органам городского округа Люберцы казенные учреждения, бюджетные учреждения и унитарные предприятия</w:t>
            </w:r>
          </w:p>
        </w:tc>
      </w:tr>
      <w:tr w:rsidR="00654B8D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54B8D" w:rsidRPr="0061169F" w:rsidRDefault="00654B8D" w:rsidP="00654B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округа, Председатель Совета депутатов, Председатель избирательной комиссии, Председатель Контрольно-счетной палаты и должности категории «руководители»</w:t>
            </w:r>
          </w:p>
        </w:tc>
        <w:tc>
          <w:tcPr>
            <w:tcW w:w="1417" w:type="dxa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должности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категории «помощники (советники)»</w:t>
            </w:r>
            <w:hyperlink w:anchor="P2362"/>
          </w:p>
        </w:tc>
        <w:tc>
          <w:tcPr>
            <w:tcW w:w="1418" w:type="dxa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должности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категории «специалисты» и иные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руководите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418" w:type="dxa"/>
            <w:shd w:val="clear" w:color="auto" w:fill="auto"/>
          </w:tcPr>
          <w:p w:rsidR="00654B8D" w:rsidRPr="0061169F" w:rsidRDefault="00654B8D" w:rsidP="00654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заместител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ь руководителя</w:t>
            </w:r>
          </w:p>
        </w:tc>
        <w:tc>
          <w:tcPr>
            <w:tcW w:w="1417" w:type="dxa"/>
            <w:shd w:val="clear" w:color="auto" w:fill="auto"/>
          </w:tcPr>
          <w:p w:rsidR="00654B8D" w:rsidRPr="0061169F" w:rsidRDefault="00654B8D" w:rsidP="00654B8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категории должностей</w:t>
            </w:r>
          </w:p>
        </w:tc>
      </w:tr>
      <w:tr w:rsidR="00654B8D" w:rsidRPr="0061169F" w:rsidTr="000E46EA">
        <w:trPr>
          <w:trHeight w:val="20"/>
        </w:trPr>
        <w:tc>
          <w:tcPr>
            <w:tcW w:w="420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54B8D" w:rsidRPr="0061169F" w:rsidRDefault="00654B8D" w:rsidP="00440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7</w:t>
            </w:r>
            <w:bookmarkStart w:id="10" w:name="P279"/>
            <w:bookmarkStart w:id="11" w:name="P280"/>
            <w:bookmarkEnd w:id="10"/>
            <w:bookmarkEnd w:id="11"/>
          </w:p>
        </w:tc>
        <w:tc>
          <w:tcPr>
            <w:tcW w:w="1417" w:type="dxa"/>
            <w:shd w:val="clear" w:color="auto" w:fill="auto"/>
          </w:tcPr>
          <w:p w:rsidR="00654B8D" w:rsidRPr="0061169F" w:rsidRDefault="00E57B93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4B8D" w:rsidRPr="0061169F" w:rsidRDefault="00E57B93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</w:t>
            </w:r>
            <w:r w:rsidR="00E57B93" w:rsidRPr="006116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</w:t>
            </w:r>
            <w:r w:rsidR="00E57B93" w:rsidRPr="006116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4B8D" w:rsidRPr="0061169F" w:rsidRDefault="00654B8D" w:rsidP="004E2D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</w:t>
            </w:r>
            <w:r w:rsidR="00E57B93" w:rsidRPr="006116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26.20.11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диагональ монитора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процессора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оптический привод BD-RE</w:t>
            </w:r>
          </w:p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Blu-Ray</w:t>
            </w:r>
            <w:proofErr w:type="spellEnd"/>
          </w:p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DVD</w:t>
            </w:r>
          </w:p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DVD-RW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наличие модулей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Bluetooth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>, поддержки 3</w:t>
            </w: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61169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UMTS</w:t>
            </w:r>
            <w:r w:rsidRPr="0061169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4E2D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Планшетный компьютер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26.20.15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Машины вычислительные электронные цифровые прочие, содержащие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диагональ монитора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количество ядер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процессора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120000,00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120000,00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26.20.16.120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Принтеры. Пояснения по требуемой продукции: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Принтер струйный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Принтер лазерный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лазерный/светодиодный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40 стр./мин.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не более 1200 x 1200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dpi</w:t>
            </w:r>
            <w:proofErr w:type="spellEnd"/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Ethernet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наличие дополнительных модулей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26.20.16.150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Сканеры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26.20.18.000 </w:t>
            </w:r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Многофункциональное устройство формата А4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автоподатчик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отправка изображений на e-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автоподатчик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отправка изображений на e-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200000,00 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26.30.11, 26.30.22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Аппаратура коммуникационная передающая с приемными устройствами, аппараты телефонные для сотовых сетей связи или для прочих беспроводных сетей. Пояснения по требуемой продукции: телефоны мобильные, мобильные телефоны (смартфоны)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устройства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метод управления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 модулей и интерфейсов (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Bluetooth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>, GPS/ГЛОНАСС)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</w:tr>
      <w:tr w:rsidR="003B24A8" w:rsidRPr="00AB1EF2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предельная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29.10.21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61169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61169F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29.10.22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61169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61169F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29.10.23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полудизелем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>), новые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29.10.24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Средства автотранспортн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ые для перевозки людей прочие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лошадиная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кондиционер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29.10.30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29.10.41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полудизелем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>), новые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29.10.42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искровым зажиганием; прочие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грузовые транспортные средства, новые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29.10.43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29.10.44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31.01.11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материал (металл)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31.01.12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Мебель деревянная для офисов. Пояснения по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закупаемой продукции: мебель для сидения, преимущественно с деревянным каркасом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Предельное значение - массив древесины.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61169F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49.32.11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Услуги такси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49.32.12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Услуги по аренде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легковых автомобилей с водителем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класс автомобиля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бизнес-класс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кузова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седан, универсал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материал салона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кожа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рабочий объем 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см</w:t>
            </w:r>
            <w:r w:rsidRPr="0061169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3000 см</w:t>
            </w:r>
            <w:r w:rsidRPr="0061169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полная масса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3500 кг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61.10.30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доля потерянных пакетов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61.20.11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Услуги подвижной связи общего пользования - обеспечение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тарификация услуги голосовой связи, доступа в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информационно-телекоммуникационную сеть «Интернет» (лимитная/безлимитная)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объем доступной услуги голосовой связи (минут), доступа в информационно-телекоммуникационную сеть «Интернет» (Гб) 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 Гб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но-телекоммуникационную сеть «Интернет» (Гб) (да/нет) 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количество СМС-рассылок</w:t>
            </w:r>
            <w:hyperlink w:anchor="P2370"/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чем 3000 штук в месяц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чем 1000 штук в месяц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чем 1000 штук в месяц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6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61.20.30</w:t>
            </w:r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Услуги по передаче данных по беспроводным телекоммуникационным сетям. 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6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61.20.42</w:t>
            </w:r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Услуги по широкополосному доступу к информационно-коммуникационной сети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«Интернет» по беспроводным сетям.</w:t>
            </w:r>
          </w:p>
          <w:p w:rsidR="003B24A8" w:rsidRPr="0061169F" w:rsidRDefault="003B24A8" w:rsidP="003B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77.11.10</w:t>
            </w:r>
            <w:hyperlink w:anchor="P2368"/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услуга по аренде и лизингу легковых автомобилей без водителя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услуга по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аренде и лизингу легких (до 3,5 т) автотранспортных средств без водителя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мощность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251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лошад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иная сила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61169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6116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58.29.13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общая сумма выплат по лицензионным и иным договорам (независимо от вида договора), отчислений в пользу иностранных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юридических и физических лиц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58.29.21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соответствие Федеральному </w:t>
            </w:r>
            <w:hyperlink r:id="rId12">
              <w:r w:rsidRPr="0061169F">
                <w:rPr>
                  <w:rFonts w:ascii="Arial" w:hAnsi="Arial" w:cs="Arial"/>
                  <w:sz w:val="24"/>
                  <w:szCs w:val="24"/>
                </w:rPr>
                <w:t>закону</w:t>
              </w:r>
            </w:hyperlink>
            <w:r w:rsidRPr="0061169F">
              <w:rPr>
                <w:rFonts w:ascii="Arial" w:hAnsi="Arial" w:cs="Arial"/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58.29.31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Обеспечение программное системное для загрузки.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использование российских криптоалгоритмов при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58.29.32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</w:t>
            </w: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систем бухгалтерского учета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 xml:space="preserve">50000,0 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6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61.90.10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3B24A8" w:rsidRPr="0061169F" w:rsidTr="000E46EA">
        <w:trPr>
          <w:trHeight w:val="20"/>
        </w:trPr>
        <w:tc>
          <w:tcPr>
            <w:tcW w:w="42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6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26.30.11.110</w:t>
            </w:r>
          </w:p>
        </w:tc>
        <w:tc>
          <w:tcPr>
            <w:tcW w:w="198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Средства связи, выполняющие функцию систем коммуникации. Пояснения по требуемой продукции: GSM-модем</w:t>
            </w:r>
          </w:p>
        </w:tc>
        <w:tc>
          <w:tcPr>
            <w:tcW w:w="1695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3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8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3B24A8" w:rsidRPr="0061169F" w:rsidRDefault="003B24A8" w:rsidP="003B24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169F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</w:tr>
    </w:tbl>
    <w:p w:rsidR="00F944C9" w:rsidRPr="0061169F" w:rsidRDefault="00F944C9" w:rsidP="006F6DBB">
      <w:pPr>
        <w:pStyle w:val="ConsPlusNormal"/>
        <w:rPr>
          <w:rFonts w:ascii="Arial" w:hAnsi="Arial" w:cs="Arial"/>
          <w:sz w:val="24"/>
          <w:szCs w:val="24"/>
        </w:rPr>
      </w:pPr>
    </w:p>
    <w:sectPr w:rsidR="00F944C9" w:rsidRPr="0061169F" w:rsidSect="00C50BAB">
      <w:pgSz w:w="16839" w:h="11907" w:orient="landscape" w:code="9"/>
      <w:pgMar w:top="709" w:right="1134" w:bottom="568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744"/>
    <w:multiLevelType w:val="multilevel"/>
    <w:tmpl w:val="B442C0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5A4FFD"/>
    <w:multiLevelType w:val="multilevel"/>
    <w:tmpl w:val="B0C4D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C9"/>
    <w:rsid w:val="00013D7F"/>
    <w:rsid w:val="00044E66"/>
    <w:rsid w:val="00046FA9"/>
    <w:rsid w:val="0007073A"/>
    <w:rsid w:val="0007585A"/>
    <w:rsid w:val="00085347"/>
    <w:rsid w:val="000B2111"/>
    <w:rsid w:val="000B3C9E"/>
    <w:rsid w:val="000B4B71"/>
    <w:rsid w:val="000C2562"/>
    <w:rsid w:val="000C31CC"/>
    <w:rsid w:val="000C34B1"/>
    <w:rsid w:val="000E46EA"/>
    <w:rsid w:val="001020C9"/>
    <w:rsid w:val="00113686"/>
    <w:rsid w:val="00134018"/>
    <w:rsid w:val="00167F01"/>
    <w:rsid w:val="0017422B"/>
    <w:rsid w:val="001868D8"/>
    <w:rsid w:val="001912E1"/>
    <w:rsid w:val="001B0D26"/>
    <w:rsid w:val="001C1B86"/>
    <w:rsid w:val="001E4F27"/>
    <w:rsid w:val="001F6F77"/>
    <w:rsid w:val="002147C2"/>
    <w:rsid w:val="0025564E"/>
    <w:rsid w:val="00264484"/>
    <w:rsid w:val="00265924"/>
    <w:rsid w:val="00273DD5"/>
    <w:rsid w:val="00281676"/>
    <w:rsid w:val="002A04B3"/>
    <w:rsid w:val="002A2F76"/>
    <w:rsid w:val="002A4CE4"/>
    <w:rsid w:val="002A7FBB"/>
    <w:rsid w:val="002B7331"/>
    <w:rsid w:val="002B7422"/>
    <w:rsid w:val="002C1BB0"/>
    <w:rsid w:val="002D2271"/>
    <w:rsid w:val="002E120C"/>
    <w:rsid w:val="003103B9"/>
    <w:rsid w:val="00315B6E"/>
    <w:rsid w:val="0032274D"/>
    <w:rsid w:val="00355D33"/>
    <w:rsid w:val="00376A30"/>
    <w:rsid w:val="003860C5"/>
    <w:rsid w:val="003A3281"/>
    <w:rsid w:val="003A4B43"/>
    <w:rsid w:val="003A6C27"/>
    <w:rsid w:val="003B004E"/>
    <w:rsid w:val="003B24A8"/>
    <w:rsid w:val="003D1875"/>
    <w:rsid w:val="004017DC"/>
    <w:rsid w:val="00416546"/>
    <w:rsid w:val="004168F0"/>
    <w:rsid w:val="0042068F"/>
    <w:rsid w:val="0044069B"/>
    <w:rsid w:val="00444A9C"/>
    <w:rsid w:val="004608A0"/>
    <w:rsid w:val="00465507"/>
    <w:rsid w:val="004662CA"/>
    <w:rsid w:val="004833C2"/>
    <w:rsid w:val="004952F2"/>
    <w:rsid w:val="004A1361"/>
    <w:rsid w:val="004A5D6A"/>
    <w:rsid w:val="004A681A"/>
    <w:rsid w:val="004C494E"/>
    <w:rsid w:val="004E2D8F"/>
    <w:rsid w:val="00511495"/>
    <w:rsid w:val="005129F1"/>
    <w:rsid w:val="005136F0"/>
    <w:rsid w:val="00513D45"/>
    <w:rsid w:val="00521289"/>
    <w:rsid w:val="005330C2"/>
    <w:rsid w:val="00550FD4"/>
    <w:rsid w:val="00565A29"/>
    <w:rsid w:val="005674D4"/>
    <w:rsid w:val="005709A5"/>
    <w:rsid w:val="005727F6"/>
    <w:rsid w:val="00577D2B"/>
    <w:rsid w:val="005921B1"/>
    <w:rsid w:val="00593044"/>
    <w:rsid w:val="0059337D"/>
    <w:rsid w:val="00593D92"/>
    <w:rsid w:val="005A00B3"/>
    <w:rsid w:val="005A5853"/>
    <w:rsid w:val="005B119B"/>
    <w:rsid w:val="005B4D38"/>
    <w:rsid w:val="005D4FB1"/>
    <w:rsid w:val="005E0F93"/>
    <w:rsid w:val="0061169F"/>
    <w:rsid w:val="006354D2"/>
    <w:rsid w:val="00650874"/>
    <w:rsid w:val="00654B8D"/>
    <w:rsid w:val="0066128B"/>
    <w:rsid w:val="00684D16"/>
    <w:rsid w:val="006865D4"/>
    <w:rsid w:val="006A263A"/>
    <w:rsid w:val="006A699C"/>
    <w:rsid w:val="006B1489"/>
    <w:rsid w:val="006C77B6"/>
    <w:rsid w:val="006F6DBB"/>
    <w:rsid w:val="00711355"/>
    <w:rsid w:val="007610D5"/>
    <w:rsid w:val="00774046"/>
    <w:rsid w:val="007833FE"/>
    <w:rsid w:val="00784E31"/>
    <w:rsid w:val="007A589C"/>
    <w:rsid w:val="007C22AE"/>
    <w:rsid w:val="007C77C1"/>
    <w:rsid w:val="007D27FB"/>
    <w:rsid w:val="007E0913"/>
    <w:rsid w:val="0082166B"/>
    <w:rsid w:val="008303DB"/>
    <w:rsid w:val="0084212B"/>
    <w:rsid w:val="00844E1C"/>
    <w:rsid w:val="008504D5"/>
    <w:rsid w:val="008554C9"/>
    <w:rsid w:val="00857F0A"/>
    <w:rsid w:val="008602C7"/>
    <w:rsid w:val="0086155A"/>
    <w:rsid w:val="00877100"/>
    <w:rsid w:val="008A3150"/>
    <w:rsid w:val="008A4175"/>
    <w:rsid w:val="008D7EA7"/>
    <w:rsid w:val="008E1CBB"/>
    <w:rsid w:val="008E5785"/>
    <w:rsid w:val="008F6FB2"/>
    <w:rsid w:val="009115A3"/>
    <w:rsid w:val="00912015"/>
    <w:rsid w:val="0092687F"/>
    <w:rsid w:val="009320AB"/>
    <w:rsid w:val="00934FA4"/>
    <w:rsid w:val="009502D0"/>
    <w:rsid w:val="00954A91"/>
    <w:rsid w:val="00963482"/>
    <w:rsid w:val="00964F1E"/>
    <w:rsid w:val="00966BAE"/>
    <w:rsid w:val="00976F3D"/>
    <w:rsid w:val="009802BB"/>
    <w:rsid w:val="009A37CE"/>
    <w:rsid w:val="009A52C0"/>
    <w:rsid w:val="009B22DC"/>
    <w:rsid w:val="009B43B2"/>
    <w:rsid w:val="009B4C07"/>
    <w:rsid w:val="009B5AC6"/>
    <w:rsid w:val="009B7EE7"/>
    <w:rsid w:val="009C0C6C"/>
    <w:rsid w:val="009C5875"/>
    <w:rsid w:val="009D2B4C"/>
    <w:rsid w:val="009D60E4"/>
    <w:rsid w:val="009E002C"/>
    <w:rsid w:val="009F3032"/>
    <w:rsid w:val="009F7A9B"/>
    <w:rsid w:val="00A05308"/>
    <w:rsid w:val="00A1047A"/>
    <w:rsid w:val="00A15480"/>
    <w:rsid w:val="00A16910"/>
    <w:rsid w:val="00A178B5"/>
    <w:rsid w:val="00A2342E"/>
    <w:rsid w:val="00A72AA4"/>
    <w:rsid w:val="00A74A26"/>
    <w:rsid w:val="00A757E4"/>
    <w:rsid w:val="00A92A9B"/>
    <w:rsid w:val="00A95B78"/>
    <w:rsid w:val="00AA2FC5"/>
    <w:rsid w:val="00AB08E0"/>
    <w:rsid w:val="00AB0AE3"/>
    <w:rsid w:val="00AB1EF2"/>
    <w:rsid w:val="00AB2496"/>
    <w:rsid w:val="00AE7036"/>
    <w:rsid w:val="00B109E5"/>
    <w:rsid w:val="00B30831"/>
    <w:rsid w:val="00B30E3B"/>
    <w:rsid w:val="00B33290"/>
    <w:rsid w:val="00B361A5"/>
    <w:rsid w:val="00B369E0"/>
    <w:rsid w:val="00B438E6"/>
    <w:rsid w:val="00B466AF"/>
    <w:rsid w:val="00B518DD"/>
    <w:rsid w:val="00B557A6"/>
    <w:rsid w:val="00B70222"/>
    <w:rsid w:val="00B9017A"/>
    <w:rsid w:val="00B95D40"/>
    <w:rsid w:val="00BB5CEF"/>
    <w:rsid w:val="00BB64D4"/>
    <w:rsid w:val="00BE1212"/>
    <w:rsid w:val="00BF21D8"/>
    <w:rsid w:val="00C0629A"/>
    <w:rsid w:val="00C11766"/>
    <w:rsid w:val="00C1327D"/>
    <w:rsid w:val="00C2751E"/>
    <w:rsid w:val="00C27C53"/>
    <w:rsid w:val="00C50BAB"/>
    <w:rsid w:val="00C95227"/>
    <w:rsid w:val="00CE737A"/>
    <w:rsid w:val="00D10C00"/>
    <w:rsid w:val="00D13B53"/>
    <w:rsid w:val="00D20AF2"/>
    <w:rsid w:val="00D34247"/>
    <w:rsid w:val="00DB0FE9"/>
    <w:rsid w:val="00DF041A"/>
    <w:rsid w:val="00DF2A19"/>
    <w:rsid w:val="00E0430A"/>
    <w:rsid w:val="00E07E97"/>
    <w:rsid w:val="00E30C76"/>
    <w:rsid w:val="00E343FE"/>
    <w:rsid w:val="00E50FB3"/>
    <w:rsid w:val="00E57B93"/>
    <w:rsid w:val="00E72415"/>
    <w:rsid w:val="00E91969"/>
    <w:rsid w:val="00EA1EB7"/>
    <w:rsid w:val="00EE4683"/>
    <w:rsid w:val="00EF06C8"/>
    <w:rsid w:val="00F04876"/>
    <w:rsid w:val="00F066A4"/>
    <w:rsid w:val="00F22109"/>
    <w:rsid w:val="00F41488"/>
    <w:rsid w:val="00F508E2"/>
    <w:rsid w:val="00F51AA1"/>
    <w:rsid w:val="00F63570"/>
    <w:rsid w:val="00F7181A"/>
    <w:rsid w:val="00F852CF"/>
    <w:rsid w:val="00F862FC"/>
    <w:rsid w:val="00F944C9"/>
    <w:rsid w:val="00FA13BF"/>
    <w:rsid w:val="00FA7696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D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933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37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39"/>
    <w:rsid w:val="0049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D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933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37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39"/>
    <w:rsid w:val="0049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82F026A6E8EF80E474CB3271D46E509E4F3378F704628909E6D86706E58D1F0C49FA644AFE866F5ECE5788F0O4a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12" Type="http://schemas.openxmlformats.org/officeDocument/2006/relationships/hyperlink" Target="consultantplus://offline/ref=2B82F026A6E8EF80E474CB3271D46E509E4F357FF406628909E6D86706E58D1F0C49FA644AFE866F5ECE5788F0O4a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82F026A6E8EF80E474CB3271D46E509E4C3F7EF001628909E6D86706E58D1F0C49FA644AFE866F5ECE5788F0O4a4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82F026A6E8EF80E474CB3271D46E509E4F3378F704628909E6D86706E58D1F0C49FA644AFE866F5ECE5788F0O4a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82F026A6E8EF80E474CB3271D46E509E4C3F7EF001628909E6D86706E58D1F0C49FA644AFE866F5ECE5788F0O4a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97AB-CEB3-49FC-9668-DBFC40E6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123</cp:lastModifiedBy>
  <cp:revision>5</cp:revision>
  <cp:lastPrinted>2022-12-14T08:17:00Z</cp:lastPrinted>
  <dcterms:created xsi:type="dcterms:W3CDTF">2023-01-17T07:37:00Z</dcterms:created>
  <dcterms:modified xsi:type="dcterms:W3CDTF">2023-01-20T08:30:00Z</dcterms:modified>
</cp:coreProperties>
</file>